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560" w:lineRule="exact"/>
        <w:ind w:firstLine="560"/>
        <w:rPr>
          <w:rFonts w:ascii="黑体" w:hAnsi="黑体" w:eastAsia="黑体" w:cs="黑体"/>
          <w:b w:val="0"/>
          <w:sz w:val="28"/>
          <w:szCs w:val="28"/>
        </w:rPr>
      </w:pPr>
      <w:bookmarkStart w:id="0" w:name="_Toc128147494"/>
      <w:bookmarkStart w:id="1" w:name="_Toc10817"/>
      <w:bookmarkStart w:id="2" w:name="_Toc132398710"/>
      <w:bookmarkStart w:id="3" w:name="_Toc11336"/>
      <w:bookmarkStart w:id="4" w:name="_Toc127547642"/>
      <w:bookmarkStart w:id="5" w:name="_Toc128147351"/>
      <w:bookmarkStart w:id="6" w:name="_Toc150350880"/>
      <w:bookmarkStart w:id="7" w:name="_Toc128397373"/>
      <w:bookmarkStart w:id="8" w:name="_Toc130887374"/>
      <w:bookmarkStart w:id="9" w:name="_Toc150350764"/>
      <w:bookmarkStart w:id="10" w:name="_Toc27166"/>
      <w:bookmarkStart w:id="11" w:name="_Toc2775"/>
      <w:bookmarkStart w:id="12" w:name="_Toc23299"/>
      <w:bookmarkStart w:id="13" w:name="_Toc130886520"/>
      <w:bookmarkStart w:id="14" w:name="_Toc128149621"/>
      <w:r>
        <w:rPr>
          <w:rFonts w:hint="eastAsia" w:ascii="黑体" w:hAnsi="黑体" w:eastAsia="黑体" w:cs="黑体"/>
          <w:b w:val="0"/>
          <w:sz w:val="28"/>
          <w:szCs w:val="28"/>
        </w:rPr>
        <w:t>一、商务要求</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pPr>
        <w:pStyle w:val="12"/>
        <w:spacing w:line="560" w:lineRule="exact"/>
        <w:ind w:firstLine="560"/>
        <w:rPr>
          <w:rFonts w:hAnsi="宋体"/>
          <w:sz w:val="28"/>
          <w:szCs w:val="28"/>
        </w:rPr>
      </w:pPr>
      <w:r>
        <w:rPr>
          <w:rFonts w:ascii="宋体" w:hAnsi="宋体"/>
          <w:sz w:val="28"/>
          <w:szCs w:val="28"/>
          <w:lang w:val="zh-CN"/>
        </w:rPr>
        <w:t>★</w:t>
      </w:r>
      <w:r>
        <w:rPr>
          <w:rFonts w:hAnsi="宋体"/>
          <w:sz w:val="28"/>
          <w:szCs w:val="28"/>
          <w:lang w:val="zh-CN"/>
        </w:rPr>
        <w:t>（一）</w:t>
      </w:r>
      <w:r>
        <w:rPr>
          <w:rFonts w:hAnsi="宋体"/>
          <w:sz w:val="28"/>
          <w:szCs w:val="28"/>
        </w:rPr>
        <w:t>交</w:t>
      </w:r>
      <w:r>
        <w:rPr>
          <w:rFonts w:hint="eastAsia" w:hAnsi="宋体"/>
          <w:sz w:val="28"/>
          <w:szCs w:val="28"/>
        </w:rPr>
        <w:t>付（服务）</w:t>
      </w:r>
      <w:r>
        <w:rPr>
          <w:rFonts w:hAnsi="宋体"/>
          <w:sz w:val="28"/>
          <w:szCs w:val="28"/>
        </w:rPr>
        <w:t>时间、地点</w:t>
      </w:r>
      <w:r>
        <w:rPr>
          <w:rFonts w:hint="eastAsia" w:hAnsi="宋体"/>
          <w:sz w:val="28"/>
          <w:szCs w:val="28"/>
        </w:rPr>
        <w:t>和方式</w:t>
      </w:r>
    </w:p>
    <w:p>
      <w:pPr>
        <w:pStyle w:val="12"/>
        <w:spacing w:line="560" w:lineRule="exact"/>
        <w:ind w:firstLine="560"/>
        <w:rPr>
          <w:rFonts w:ascii="宋体" w:hAnsi="宋体" w:cs="宋体"/>
          <w:sz w:val="28"/>
          <w:szCs w:val="28"/>
        </w:rPr>
      </w:pPr>
      <w:r>
        <w:rPr>
          <w:rFonts w:ascii="宋体" w:hAnsi="宋体" w:cs="宋体"/>
          <w:sz w:val="28"/>
          <w:szCs w:val="28"/>
        </w:rPr>
        <w:t>1.</w:t>
      </w:r>
      <w:r>
        <w:rPr>
          <w:rFonts w:hint="eastAsia" w:ascii="宋体" w:hAnsi="宋体" w:cs="宋体"/>
          <w:sz w:val="28"/>
          <w:szCs w:val="28"/>
        </w:rPr>
        <w:t>交付时间</w:t>
      </w:r>
      <w:r>
        <w:rPr>
          <w:rFonts w:hint="eastAsia" w:hAnsi="宋体"/>
          <w:sz w:val="28"/>
          <w:szCs w:val="28"/>
        </w:rPr>
        <w:t>：</w:t>
      </w:r>
      <w:r>
        <w:rPr>
          <w:rFonts w:hint="eastAsia" w:ascii="宋体" w:hAnsi="宋体" w:cs="宋体"/>
          <w:sz w:val="28"/>
          <w:szCs w:val="28"/>
          <w:u w:val="single"/>
        </w:rPr>
        <w:t>合同签订之日起4个月全部交付并安装调试完毕</w:t>
      </w:r>
      <w:r>
        <w:rPr>
          <w:rFonts w:hint="eastAsia" w:hAnsi="宋体"/>
          <w:sz w:val="28"/>
          <w:szCs w:val="28"/>
        </w:rPr>
        <w:t>。</w:t>
      </w:r>
    </w:p>
    <w:p>
      <w:pPr>
        <w:pStyle w:val="12"/>
        <w:spacing w:line="560" w:lineRule="exact"/>
        <w:ind w:firstLine="560"/>
        <w:rPr>
          <w:rFonts w:hAnsi="宋体"/>
          <w:sz w:val="28"/>
          <w:szCs w:val="28"/>
        </w:rPr>
      </w:pPr>
      <w:r>
        <w:rPr>
          <w:rFonts w:ascii="宋体" w:hAnsi="宋体" w:cs="宋体"/>
          <w:sz w:val="28"/>
          <w:szCs w:val="28"/>
        </w:rPr>
        <w:t>2.交付</w:t>
      </w:r>
      <w:r>
        <w:rPr>
          <w:rFonts w:hint="eastAsia" w:hAnsi="宋体"/>
          <w:sz w:val="28"/>
          <w:szCs w:val="28"/>
        </w:rPr>
        <w:t>地点：</w:t>
      </w:r>
      <w:r>
        <w:rPr>
          <w:rFonts w:hint="eastAsia" w:ascii="宋体" w:hAnsi="宋体" w:cs="宋体"/>
          <w:sz w:val="28"/>
          <w:szCs w:val="28"/>
          <w:u w:val="single"/>
        </w:rPr>
        <w:t xml:space="preserve">福建省福州市用户指定地点 </w:t>
      </w:r>
      <w:r>
        <w:rPr>
          <w:rFonts w:hint="eastAsia" w:hAnsi="宋体"/>
          <w:sz w:val="28"/>
          <w:szCs w:val="28"/>
        </w:rPr>
        <w:t>。</w:t>
      </w:r>
    </w:p>
    <w:p>
      <w:pPr>
        <w:pStyle w:val="12"/>
        <w:spacing w:line="560" w:lineRule="exact"/>
        <w:ind w:firstLine="560"/>
        <w:rPr>
          <w:rFonts w:hAnsi="宋体"/>
          <w:sz w:val="28"/>
          <w:szCs w:val="28"/>
        </w:rPr>
      </w:pPr>
      <w:r>
        <w:rPr>
          <w:rFonts w:hint="eastAsia" w:hAnsi="宋体"/>
          <w:sz w:val="28"/>
          <w:szCs w:val="28"/>
        </w:rPr>
        <w:t>3</w:t>
      </w:r>
      <w:r>
        <w:rPr>
          <w:rFonts w:hAnsi="宋体"/>
          <w:sz w:val="28"/>
          <w:szCs w:val="28"/>
        </w:rPr>
        <w:t>.</w:t>
      </w:r>
      <w:r>
        <w:rPr>
          <w:rFonts w:ascii="宋体" w:hAnsi="宋体" w:cs="宋体"/>
          <w:sz w:val="28"/>
          <w:szCs w:val="28"/>
        </w:rPr>
        <w:t>交付</w:t>
      </w:r>
      <w:r>
        <w:rPr>
          <w:rFonts w:hint="eastAsia" w:hAnsi="宋体"/>
          <w:sz w:val="28"/>
          <w:szCs w:val="28"/>
        </w:rPr>
        <w:t>方式：</w:t>
      </w:r>
      <w:r>
        <w:rPr>
          <w:rFonts w:hint="eastAsia" w:ascii="宋体" w:hAnsi="宋体" w:cs="宋体"/>
          <w:sz w:val="28"/>
          <w:szCs w:val="28"/>
          <w:u w:val="single"/>
        </w:rPr>
        <w:t>中标人免费上门安装调试</w:t>
      </w:r>
      <w:r>
        <w:rPr>
          <w:rFonts w:hint="eastAsia" w:hAnsi="宋体"/>
          <w:sz w:val="28"/>
          <w:szCs w:val="28"/>
        </w:rPr>
        <w:t>。</w:t>
      </w:r>
    </w:p>
    <w:p>
      <w:pPr>
        <w:pStyle w:val="12"/>
        <w:spacing w:line="560" w:lineRule="exact"/>
        <w:ind w:firstLine="560"/>
        <w:rPr>
          <w:rFonts w:hAnsi="宋体"/>
          <w:sz w:val="28"/>
          <w:szCs w:val="28"/>
        </w:rPr>
      </w:pPr>
      <w:r>
        <w:rPr>
          <w:rFonts w:ascii="宋体" w:hAnsi="宋体"/>
          <w:sz w:val="28"/>
          <w:szCs w:val="28"/>
          <w:lang w:val="zh-CN"/>
        </w:rPr>
        <w:t>★</w:t>
      </w:r>
      <w:r>
        <w:rPr>
          <w:rFonts w:hint="eastAsia" w:hAnsi="宋体"/>
          <w:sz w:val="28"/>
          <w:szCs w:val="28"/>
        </w:rPr>
        <w:t>（二）售后服务</w:t>
      </w:r>
    </w:p>
    <w:p>
      <w:pPr>
        <w:pStyle w:val="7"/>
        <w:spacing w:beforeAutospacing="0" w:afterAutospacing="0" w:line="560" w:lineRule="exact"/>
        <w:ind w:firstLine="560" w:firstLineChars="200"/>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1、</w:t>
      </w:r>
      <w:r>
        <w:rPr>
          <w:rFonts w:hint="eastAsia" w:ascii="Times New Roman" w:hAnsi="Times New Roman" w:eastAsia="宋体" w:cs="Times New Roman"/>
          <w:kern w:val="0"/>
          <w:sz w:val="28"/>
          <w:szCs w:val="28"/>
          <w:lang w:val="en-US" w:eastAsia="zh-CN" w:bidi="ar-SA"/>
        </w:rPr>
        <w:t>质保期为</w:t>
      </w:r>
      <w:r>
        <w:rPr>
          <w:rFonts w:hint="eastAsia" w:ascii="Times New Roman" w:hAnsi="Times New Roman" w:eastAsia="宋体" w:cs="Times New Roman"/>
          <w:kern w:val="0"/>
          <w:sz w:val="28"/>
          <w:szCs w:val="28"/>
          <w:lang w:val="zh-CN" w:eastAsia="zh-CN" w:bidi="ar-SA"/>
        </w:rPr>
        <w:t>自项目验收完毕之日起</w:t>
      </w:r>
      <w:r>
        <w:rPr>
          <w:rFonts w:hint="eastAsia" w:ascii="Times New Roman" w:hAnsi="Times New Roman" w:eastAsia="宋体" w:cs="Times New Roman"/>
          <w:kern w:val="0"/>
          <w:sz w:val="28"/>
          <w:szCs w:val="28"/>
          <w:lang w:val="en-US" w:eastAsia="zh-CN" w:bidi="ar-SA"/>
        </w:rPr>
        <w:t>36</w:t>
      </w:r>
      <w:r>
        <w:rPr>
          <w:rFonts w:hint="eastAsia" w:ascii="Times New Roman" w:hAnsi="Times New Roman" w:eastAsia="宋体" w:cs="Times New Roman"/>
          <w:kern w:val="0"/>
          <w:sz w:val="28"/>
          <w:szCs w:val="28"/>
          <w:lang w:val="zh-CN" w:eastAsia="zh-CN" w:bidi="ar-SA"/>
        </w:rPr>
        <w:t>个月。中标供应商对提供的产品在质保期内免费升级，因产品质量而导致的缺陷，必须免费提供缺陷修复服务，因此导致的损失采购单位有权向中标供应商追偿。质保期后：中标人应提供系统软件终身维护及升级服务；中标人须承诺，免费质保期后若采购单位提出要求继续维护，中标人应继续提供维护，每年软件维护费用按以下比例收取，质保期后第1-2年每年维护费为中标金额的</w:t>
      </w:r>
      <w:r>
        <w:rPr>
          <w:rFonts w:hint="eastAsia" w:ascii="Times New Roman" w:hAnsi="Times New Roman" w:eastAsia="宋体" w:cs="Times New Roman"/>
          <w:kern w:val="0"/>
          <w:sz w:val="28"/>
          <w:szCs w:val="28"/>
          <w:lang w:val="en-US" w:eastAsia="zh-CN" w:bidi="ar-SA"/>
        </w:rPr>
        <w:t>4</w:t>
      </w:r>
      <w:r>
        <w:rPr>
          <w:rFonts w:hint="eastAsia" w:ascii="Times New Roman" w:hAnsi="Times New Roman" w:eastAsia="宋体" w:cs="Times New Roman"/>
          <w:kern w:val="0"/>
          <w:sz w:val="28"/>
          <w:szCs w:val="28"/>
          <w:lang w:val="zh-CN" w:eastAsia="zh-CN" w:bidi="ar-SA"/>
        </w:rPr>
        <w:t>％；质保期后第3-4年每年维护费用为中标金额的</w:t>
      </w:r>
      <w:r>
        <w:rPr>
          <w:rFonts w:hint="eastAsia" w:ascii="Times New Roman" w:hAnsi="Times New Roman" w:eastAsia="宋体" w:cs="Times New Roman"/>
          <w:kern w:val="0"/>
          <w:sz w:val="28"/>
          <w:szCs w:val="28"/>
          <w:lang w:val="en-US" w:eastAsia="zh-CN" w:bidi="ar-SA"/>
        </w:rPr>
        <w:t>6</w:t>
      </w:r>
      <w:r>
        <w:rPr>
          <w:rFonts w:hint="eastAsia" w:ascii="Times New Roman" w:hAnsi="Times New Roman" w:eastAsia="宋体" w:cs="Times New Roman"/>
          <w:kern w:val="0"/>
          <w:sz w:val="28"/>
          <w:szCs w:val="28"/>
          <w:lang w:val="zh-CN" w:eastAsia="zh-CN" w:bidi="ar-SA"/>
        </w:rPr>
        <w:t>％；质保期后第5-6年每年维护费用为中标金额的</w:t>
      </w:r>
      <w:r>
        <w:rPr>
          <w:rFonts w:hint="eastAsia" w:ascii="Times New Roman" w:hAnsi="Times New Roman" w:eastAsia="宋体" w:cs="Times New Roman"/>
          <w:kern w:val="0"/>
          <w:sz w:val="28"/>
          <w:szCs w:val="28"/>
          <w:lang w:val="en-US" w:eastAsia="zh-CN" w:bidi="ar-SA"/>
        </w:rPr>
        <w:t>8</w:t>
      </w:r>
      <w:r>
        <w:rPr>
          <w:rFonts w:hint="eastAsia" w:ascii="Times New Roman" w:hAnsi="Times New Roman" w:eastAsia="宋体" w:cs="Times New Roman"/>
          <w:kern w:val="0"/>
          <w:sz w:val="28"/>
          <w:szCs w:val="28"/>
          <w:lang w:val="zh-CN" w:eastAsia="zh-CN" w:bidi="ar-SA"/>
        </w:rPr>
        <w:t>％；质保期后第</w:t>
      </w:r>
      <w:r>
        <w:rPr>
          <w:rFonts w:hint="eastAsia" w:ascii="Times New Roman" w:hAnsi="Times New Roman" w:eastAsia="宋体" w:cs="Times New Roman"/>
          <w:kern w:val="0"/>
          <w:sz w:val="28"/>
          <w:szCs w:val="28"/>
          <w:lang w:val="en-US" w:eastAsia="zh-CN" w:bidi="ar-SA"/>
        </w:rPr>
        <w:t>7</w:t>
      </w:r>
      <w:r>
        <w:rPr>
          <w:rFonts w:hint="eastAsia" w:ascii="Times New Roman" w:hAnsi="Times New Roman" w:eastAsia="宋体" w:cs="Times New Roman"/>
          <w:kern w:val="0"/>
          <w:sz w:val="28"/>
          <w:szCs w:val="28"/>
          <w:lang w:val="zh-CN" w:eastAsia="zh-CN" w:bidi="ar-SA"/>
        </w:rPr>
        <w:t>年以后每年维护费用为中标金额的</w:t>
      </w:r>
      <w:r>
        <w:rPr>
          <w:rFonts w:hint="eastAsia" w:ascii="Times New Roman" w:hAnsi="Times New Roman" w:eastAsia="宋体" w:cs="Times New Roman"/>
          <w:kern w:val="0"/>
          <w:sz w:val="28"/>
          <w:szCs w:val="28"/>
          <w:lang w:val="en-US" w:eastAsia="zh-CN" w:bidi="ar-SA"/>
        </w:rPr>
        <w:t>10</w:t>
      </w:r>
      <w:r>
        <w:rPr>
          <w:rFonts w:hint="eastAsia" w:ascii="Times New Roman" w:hAnsi="Times New Roman" w:eastAsia="宋体" w:cs="Times New Roman"/>
          <w:kern w:val="0"/>
          <w:sz w:val="28"/>
          <w:szCs w:val="28"/>
          <w:lang w:val="zh-CN" w:eastAsia="zh-CN" w:bidi="ar-SA"/>
        </w:rPr>
        <w:t>％。</w:t>
      </w:r>
    </w:p>
    <w:p>
      <w:pPr>
        <w:widowControl/>
        <w:adjustRightInd w:val="0"/>
        <w:snapToGrid w:val="0"/>
        <w:spacing w:line="560" w:lineRule="exact"/>
        <w:ind w:firstLine="560" w:firstLineChars="200"/>
        <w:jc w:val="left"/>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2、中标供应商须承诺履行军事保密义务。</w:t>
      </w:r>
    </w:p>
    <w:p>
      <w:pPr>
        <w:widowControl/>
        <w:adjustRightInd w:val="0"/>
        <w:snapToGrid w:val="0"/>
        <w:spacing w:line="560" w:lineRule="exact"/>
        <w:ind w:firstLine="560" w:firstLineChars="200"/>
        <w:jc w:val="left"/>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3、中标供应商须承诺提供该项目的技术培训、技术支持、产品建档计划和维修巡检服务。</w:t>
      </w:r>
    </w:p>
    <w:p>
      <w:pPr>
        <w:widowControl/>
        <w:adjustRightInd w:val="0"/>
        <w:snapToGrid w:val="0"/>
        <w:spacing w:line="560" w:lineRule="exact"/>
        <w:ind w:firstLine="560" w:firstLineChars="200"/>
        <w:jc w:val="left"/>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4、日常维护及服务标准：中标供应商须承诺，试运行期间提供不少于2人的驻场服务，质保期内免费提供7×24小时远程技术支持、日常维护等服务，无偿解决软件故障。软件出现故障后30分钟响应，在1小时内即时通过电话、Email或传真等远程方式解决相应问题；故障严重或医院要求的情况下2小时内到达现场解决问题，并在4小时内完成故障处理。中标供应商必须在福建省有固定售后服务团队（包括提供工程师电话、技术维修力量情况及联系方式）。</w:t>
      </w:r>
    </w:p>
    <w:p>
      <w:pPr>
        <w:widowControl/>
        <w:adjustRightInd w:val="0"/>
        <w:snapToGrid w:val="0"/>
        <w:spacing w:line="560" w:lineRule="exact"/>
        <w:ind w:firstLine="560" w:firstLineChars="200"/>
        <w:jc w:val="left"/>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5、其他服务要求：本项目相关产品及服务应符合军队保密和信息安全要求。</w:t>
      </w:r>
    </w:p>
    <w:p>
      <w:pPr>
        <w:pStyle w:val="12"/>
        <w:spacing w:line="560" w:lineRule="exact"/>
        <w:ind w:firstLine="560"/>
        <w:rPr>
          <w:sz w:val="28"/>
          <w:szCs w:val="28"/>
        </w:rPr>
      </w:pPr>
      <w:r>
        <w:rPr>
          <w:rFonts w:ascii="宋体" w:hAnsi="宋体"/>
          <w:sz w:val="28"/>
          <w:szCs w:val="28"/>
          <w:lang w:val="zh-CN"/>
        </w:rPr>
        <w:t>★</w:t>
      </w:r>
      <w:r>
        <w:rPr>
          <w:rFonts w:hAnsi="宋体"/>
          <w:sz w:val="28"/>
          <w:szCs w:val="28"/>
          <w:lang w:val="zh-CN"/>
        </w:rPr>
        <w:t>（</w:t>
      </w:r>
      <w:r>
        <w:rPr>
          <w:rFonts w:hint="eastAsia" w:hAnsi="宋体"/>
          <w:sz w:val="28"/>
          <w:szCs w:val="28"/>
        </w:rPr>
        <w:t>三</w:t>
      </w:r>
      <w:r>
        <w:rPr>
          <w:rFonts w:hAnsi="宋体"/>
          <w:sz w:val="28"/>
          <w:szCs w:val="28"/>
          <w:lang w:val="zh-CN"/>
        </w:rPr>
        <w:t>）</w:t>
      </w:r>
      <w:r>
        <w:rPr>
          <w:rFonts w:hint="eastAsia" w:hAnsi="宋体"/>
          <w:sz w:val="28"/>
          <w:szCs w:val="28"/>
        </w:rPr>
        <w:t>知识产权</w:t>
      </w:r>
      <w:r>
        <w:rPr>
          <w:rFonts w:hAnsi="宋体"/>
          <w:sz w:val="28"/>
          <w:szCs w:val="28"/>
        </w:rPr>
        <w:t>和保密要求</w:t>
      </w:r>
    </w:p>
    <w:p>
      <w:pPr>
        <w:widowControl/>
        <w:adjustRightInd w:val="0"/>
        <w:snapToGrid w:val="0"/>
        <w:spacing w:line="560" w:lineRule="exact"/>
        <w:ind w:firstLine="560" w:firstLineChars="200"/>
        <w:jc w:val="left"/>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投标供应商须保证采购单位在使用该软件时，不受第三方提出侵犯其知识产权的指控，对此采购单位不承担任何连带责任或赔偿责任，并保证不得向第三方泄露采购单位在本软件中的任何信息及相关资料。投标供应商在最终验收时需将软件载体交付于采购单位，采购单位拥有本项目软件完整使用权，投标供应商不得擅自加密或具有其他影响软件使用的行为。</w:t>
      </w:r>
    </w:p>
    <w:p>
      <w:pPr>
        <w:widowControl/>
        <w:adjustRightInd w:val="0"/>
        <w:snapToGrid w:val="0"/>
        <w:spacing w:line="560" w:lineRule="exact"/>
        <w:ind w:firstLine="560" w:firstLineChars="200"/>
        <w:jc w:val="left"/>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对采购单位提供的人员、地址、采购情况等信息要保守秘密，不得向第三方透露。成交通知书发出后，采购单位将与中标供应商签订保密协议。</w:t>
      </w:r>
    </w:p>
    <w:p>
      <w:pPr>
        <w:widowControl/>
        <w:adjustRightInd w:val="0"/>
        <w:snapToGrid w:val="0"/>
        <w:spacing w:line="560" w:lineRule="exact"/>
        <w:ind w:firstLine="560" w:firstLineChars="200"/>
        <w:jc w:val="left"/>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基于项目合同履行形成的知识产权和其他权益，其权属归采购单位所有，法律另有规定的除外。</w:t>
      </w:r>
    </w:p>
    <w:p>
      <w:pPr>
        <w:pStyle w:val="12"/>
        <w:spacing w:line="560" w:lineRule="exact"/>
        <w:ind w:firstLine="560"/>
        <w:rPr>
          <w:rFonts w:ascii="宋体" w:hAnsi="宋体"/>
          <w:bCs/>
          <w:sz w:val="28"/>
          <w:szCs w:val="28"/>
          <w:lang w:val="zh-CN"/>
        </w:rPr>
      </w:pPr>
      <w:bookmarkStart w:id="15" w:name="_Hlk130632209"/>
      <w:r>
        <w:rPr>
          <w:rFonts w:ascii="宋体" w:hAnsi="宋体"/>
          <w:sz w:val="28"/>
          <w:szCs w:val="28"/>
          <w:lang w:val="zh-CN"/>
        </w:rPr>
        <w:t>★</w:t>
      </w:r>
      <w:r>
        <w:rPr>
          <w:rFonts w:ascii="宋体" w:hAnsi="宋体"/>
          <w:bCs/>
          <w:sz w:val="28"/>
          <w:szCs w:val="28"/>
          <w:lang w:val="zh-CN"/>
        </w:rPr>
        <w:t>（</w:t>
      </w:r>
      <w:r>
        <w:rPr>
          <w:rFonts w:hint="eastAsia" w:ascii="宋体" w:hAnsi="宋体"/>
          <w:bCs/>
          <w:sz w:val="28"/>
          <w:szCs w:val="28"/>
          <w:lang w:val="zh-CN"/>
        </w:rPr>
        <w:t>四</w:t>
      </w:r>
      <w:r>
        <w:rPr>
          <w:rFonts w:ascii="宋体" w:hAnsi="宋体"/>
          <w:bCs/>
          <w:sz w:val="28"/>
          <w:szCs w:val="28"/>
          <w:lang w:val="zh-CN"/>
        </w:rPr>
        <w:t>）</w:t>
      </w:r>
      <w:r>
        <w:rPr>
          <w:rFonts w:hint="eastAsia" w:ascii="宋体" w:hAnsi="宋体"/>
          <w:bCs/>
          <w:sz w:val="28"/>
          <w:szCs w:val="28"/>
          <w:lang w:val="zh-CN"/>
        </w:rPr>
        <w:t>物资编目编码、打码贴签</w:t>
      </w:r>
      <w:r>
        <w:rPr>
          <w:rFonts w:ascii="宋体" w:hAnsi="宋体"/>
          <w:bCs/>
          <w:sz w:val="28"/>
          <w:szCs w:val="28"/>
          <w:lang w:val="zh-CN"/>
        </w:rPr>
        <w:t>要求</w:t>
      </w:r>
    </w:p>
    <w:p>
      <w:pPr>
        <w:pStyle w:val="12"/>
        <w:spacing w:line="560" w:lineRule="exact"/>
        <w:ind w:firstLine="560"/>
        <w:rPr>
          <w:rFonts w:ascii="宋体" w:hAnsi="宋体"/>
          <w:bCs/>
          <w:sz w:val="28"/>
          <w:szCs w:val="28"/>
          <w:lang w:val="zh-CN"/>
        </w:rPr>
      </w:pPr>
      <w:r>
        <w:rPr>
          <w:rFonts w:hint="eastAsia"/>
          <w:sz w:val="28"/>
          <w:szCs w:val="28"/>
        </w:rPr>
        <w:t>本项目服务所含配套物资有编目编码、打码贴签要求的，投标供应商应当予以明确响应，相关费用包含在报价中。</w:t>
      </w:r>
    </w:p>
    <w:bookmarkEnd w:id="15"/>
    <w:p>
      <w:pPr>
        <w:pStyle w:val="12"/>
        <w:spacing w:line="560" w:lineRule="exact"/>
        <w:ind w:firstLine="560"/>
        <w:rPr>
          <w:rFonts w:ascii="宋体" w:hAnsi="宋体"/>
          <w:sz w:val="28"/>
          <w:szCs w:val="28"/>
          <w:lang w:val="zh-CN"/>
        </w:rPr>
      </w:pPr>
      <w:r>
        <w:rPr>
          <w:rFonts w:hint="eastAsia" w:ascii="宋体" w:hAnsi="宋体"/>
          <w:sz w:val="28"/>
          <w:szCs w:val="28"/>
          <w:lang w:val="zh-CN"/>
        </w:rPr>
        <w:t>★（</w:t>
      </w:r>
      <w:r>
        <w:rPr>
          <w:rFonts w:hint="eastAsia" w:ascii="宋体" w:hAnsi="宋体"/>
          <w:sz w:val="28"/>
          <w:szCs w:val="28"/>
        </w:rPr>
        <w:t>五</w:t>
      </w:r>
      <w:r>
        <w:rPr>
          <w:rFonts w:hint="eastAsia" w:ascii="宋体" w:hAnsi="宋体"/>
          <w:sz w:val="28"/>
          <w:szCs w:val="28"/>
          <w:lang w:val="zh-CN"/>
        </w:rPr>
        <w:t>）付款及结算方式</w:t>
      </w:r>
    </w:p>
    <w:p>
      <w:pPr>
        <w:widowControl/>
        <w:adjustRightInd w:val="0"/>
        <w:snapToGrid w:val="0"/>
        <w:spacing w:line="560" w:lineRule="exact"/>
        <w:ind w:firstLine="560" w:firstLineChars="200"/>
        <w:jc w:val="left"/>
        <w:rPr>
          <w:rFonts w:hint="eastAsia" w:ascii="Times New Roman" w:hAnsi="Times New Roman" w:eastAsia="宋体" w:cs="Times New Roman"/>
          <w:kern w:val="0"/>
          <w:sz w:val="28"/>
          <w:szCs w:val="28"/>
          <w:lang w:val="zh-CN" w:eastAsia="zh-CN" w:bidi="ar-SA"/>
        </w:rPr>
      </w:pPr>
      <w:bookmarkStart w:id="16" w:name="_Toc128149622"/>
      <w:bookmarkStart w:id="17" w:name="_Toc128147495"/>
      <w:bookmarkStart w:id="18" w:name="_Toc128397374"/>
      <w:bookmarkStart w:id="19" w:name="_Toc130887375"/>
      <w:bookmarkStart w:id="20" w:name="_Toc127547643"/>
      <w:bookmarkStart w:id="21" w:name="_Toc128147352"/>
      <w:bookmarkStart w:id="22" w:name="_Toc130886521"/>
      <w:bookmarkStart w:id="23" w:name="_Toc150350765"/>
      <w:bookmarkStart w:id="24" w:name="_Toc132398711"/>
      <w:bookmarkStart w:id="25" w:name="_Toc150350881"/>
      <w:r>
        <w:rPr>
          <w:rFonts w:hint="eastAsia" w:ascii="Times New Roman" w:hAnsi="Times New Roman" w:eastAsia="宋体" w:cs="Times New Roman"/>
          <w:kern w:val="0"/>
          <w:sz w:val="28"/>
          <w:szCs w:val="28"/>
          <w:lang w:val="zh-CN" w:eastAsia="zh-CN" w:bidi="ar-SA"/>
        </w:rPr>
        <w:t>1、合同签订并生效后，中标供应商按照采购单位要求安装调试完成、试运行3个月无任何问题，提交采购单位验收，经采购单位验收合格后，无特殊情况3个月内支付合同款的95%，剩余5%的款项作为质保金，质保期自验收合格之日起算，质保期满后，无明显质量问题及售后服务问题无息付清。</w:t>
      </w:r>
    </w:p>
    <w:p>
      <w:pPr>
        <w:widowControl/>
        <w:adjustRightInd w:val="0"/>
        <w:snapToGrid w:val="0"/>
        <w:spacing w:line="560" w:lineRule="exact"/>
        <w:ind w:firstLine="560" w:firstLineChars="200"/>
        <w:jc w:val="left"/>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2、在验收合格后，支付95%合同款前，中标供应商要求付款应提交下列单证和文件：</w:t>
      </w:r>
    </w:p>
    <w:p>
      <w:pPr>
        <w:widowControl/>
        <w:adjustRightInd w:val="0"/>
        <w:snapToGrid w:val="0"/>
        <w:spacing w:line="560" w:lineRule="exact"/>
        <w:ind w:firstLine="560" w:firstLineChars="200"/>
        <w:jc w:val="left"/>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（1）金额为有关合同货物价格100%的正式发票。</w:t>
      </w:r>
    </w:p>
    <w:p>
      <w:pPr>
        <w:widowControl/>
        <w:adjustRightInd w:val="0"/>
        <w:snapToGrid w:val="0"/>
        <w:spacing w:line="560" w:lineRule="exact"/>
        <w:ind w:firstLine="560" w:firstLineChars="200"/>
        <w:jc w:val="left"/>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（2）采购单位需求部门签发的验收合格文件。</w:t>
      </w:r>
    </w:p>
    <w:p>
      <w:pPr>
        <w:pStyle w:val="12"/>
        <w:spacing w:line="560" w:lineRule="exact"/>
        <w:ind w:firstLine="560"/>
        <w:rPr>
          <w:rFonts w:ascii="宋体" w:hAnsi="宋体"/>
          <w:sz w:val="28"/>
          <w:szCs w:val="28"/>
          <w:lang w:val="zh-CN"/>
        </w:rPr>
      </w:pPr>
      <w:r>
        <w:rPr>
          <w:rFonts w:hint="eastAsia" w:ascii="宋体" w:hAnsi="宋体"/>
          <w:sz w:val="28"/>
          <w:szCs w:val="28"/>
          <w:lang w:val="zh-CN"/>
        </w:rPr>
        <w:t>★（</w:t>
      </w:r>
      <w:r>
        <w:rPr>
          <w:rFonts w:hint="eastAsia" w:ascii="宋体" w:hAnsi="宋体"/>
          <w:sz w:val="28"/>
          <w:szCs w:val="28"/>
          <w:lang w:val="zh-CN" w:eastAsia="zh-CN"/>
        </w:rPr>
        <w:t>六</w:t>
      </w:r>
      <w:r>
        <w:rPr>
          <w:rFonts w:hint="eastAsia" w:ascii="宋体" w:hAnsi="宋体"/>
          <w:sz w:val="28"/>
          <w:szCs w:val="28"/>
          <w:lang w:val="zh-CN"/>
        </w:rPr>
        <w:t>）验收要求</w:t>
      </w:r>
    </w:p>
    <w:p>
      <w:pPr>
        <w:widowControl/>
        <w:adjustRightInd w:val="0"/>
        <w:snapToGrid w:val="0"/>
        <w:spacing w:line="560" w:lineRule="exact"/>
        <w:ind w:firstLine="560" w:firstLineChars="200"/>
        <w:jc w:val="left"/>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1、验收标准</w:t>
      </w:r>
    </w:p>
    <w:p>
      <w:pPr>
        <w:widowControl/>
        <w:adjustRightInd w:val="0"/>
        <w:snapToGrid w:val="0"/>
        <w:spacing w:line="560" w:lineRule="exact"/>
        <w:ind w:firstLine="560" w:firstLineChars="200"/>
        <w:jc w:val="left"/>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系统验收按国家或行业或地方相关标准、招标文件、投标文件、合同等有关内容进行验收，满足采购单位使用需求。中标供应商提供产品的制造标准及技术规范等有关资料必须符合国家相应有关标准、规范要求。</w:t>
      </w:r>
    </w:p>
    <w:p>
      <w:pPr>
        <w:widowControl/>
        <w:adjustRightInd w:val="0"/>
        <w:snapToGrid w:val="0"/>
        <w:spacing w:line="560" w:lineRule="exact"/>
        <w:ind w:firstLine="560" w:firstLineChars="200"/>
        <w:jc w:val="left"/>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2、验收程序和方法</w:t>
      </w:r>
    </w:p>
    <w:p>
      <w:pPr>
        <w:widowControl/>
        <w:adjustRightInd w:val="0"/>
        <w:snapToGrid w:val="0"/>
        <w:spacing w:line="560" w:lineRule="exact"/>
        <w:ind w:firstLine="560" w:firstLineChars="200"/>
        <w:jc w:val="left"/>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系统安装调试完成、试运行并正常使用3个月后方可申请验收。验收按采购单位程序组织初验、终验，项目验收资料需提供项目各阶段的交付成果，包括但不限于以下资料：数据库设计说明书（数据字典）、接口设计说明书、系统部署方案、数据备份及恢复操作手册、功能测评报告、具有CMA或CNAS资质的第三方出具的系统测试报告、用户确认测试报告、用户操作手册、系统常见问题及维护手册、上线试运行报告等。</w:t>
      </w:r>
    </w:p>
    <w:p>
      <w:pPr>
        <w:pStyle w:val="2"/>
        <w:numPr>
          <w:ilvl w:val="0"/>
          <w:numId w:val="1"/>
        </w:numPr>
        <w:spacing w:before="0" w:after="0" w:line="560" w:lineRule="exact"/>
        <w:ind w:firstLine="560"/>
        <w:rPr>
          <w:rFonts w:hint="eastAsia" w:ascii="黑体" w:hAnsi="黑体" w:eastAsia="黑体" w:cs="黑体"/>
          <w:b w:val="0"/>
          <w:sz w:val="28"/>
          <w:szCs w:val="28"/>
        </w:rPr>
      </w:pPr>
      <w:r>
        <w:rPr>
          <w:rFonts w:hint="eastAsia" w:ascii="黑体" w:hAnsi="黑体" w:eastAsia="黑体" w:cs="黑体"/>
          <w:b w:val="0"/>
          <w:sz w:val="28"/>
          <w:szCs w:val="28"/>
        </w:rPr>
        <w:t>技术要求</w:t>
      </w:r>
      <w:bookmarkEnd w:id="16"/>
      <w:bookmarkEnd w:id="17"/>
      <w:bookmarkEnd w:id="18"/>
      <w:bookmarkEnd w:id="19"/>
      <w:bookmarkEnd w:id="20"/>
      <w:bookmarkEnd w:id="21"/>
      <w:bookmarkEnd w:id="22"/>
      <w:bookmarkEnd w:id="23"/>
      <w:bookmarkEnd w:id="24"/>
      <w:bookmarkEnd w:id="25"/>
    </w:p>
    <w:p>
      <w:pPr>
        <w:widowControl/>
        <w:adjustRightInd w:val="0"/>
        <w:snapToGrid w:val="0"/>
        <w:spacing w:line="560" w:lineRule="exact"/>
        <w:ind w:firstLine="560" w:firstLineChars="200"/>
        <w:jc w:val="left"/>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带“★”标示的内容为不允许负偏离的实质性要求，带“▲”标示的内容为关键技术指标。带“★”、“▲”号标注的关键技术参数指标需提供相关证明材料并加盖公章，需提供现场演示的，投标人自备软件及演示环境，现场系统功能操作演示，不接受</w:t>
      </w:r>
      <w:r>
        <w:rPr>
          <w:rFonts w:hint="eastAsia" w:ascii="Times New Roman" w:hAnsi="Times New Roman" w:eastAsia="宋体" w:cs="Times New Roman"/>
          <w:kern w:val="0"/>
          <w:sz w:val="28"/>
          <w:szCs w:val="28"/>
          <w:lang w:val="en-US" w:eastAsia="zh-CN" w:bidi="ar-SA"/>
        </w:rPr>
        <w:t>ppt、录像等演示，</w:t>
      </w:r>
      <w:r>
        <w:rPr>
          <w:rFonts w:hint="eastAsia" w:ascii="Times New Roman" w:hAnsi="Times New Roman" w:eastAsia="宋体" w:cs="Times New Roman"/>
          <w:kern w:val="0"/>
          <w:sz w:val="28"/>
          <w:szCs w:val="28"/>
          <w:lang w:val="zh-CN" w:eastAsia="zh-CN" w:bidi="ar-SA"/>
        </w:rPr>
        <w:t>没有提供证明材料视为负偏离。未带“★”号标注单项</w:t>
      </w:r>
      <w:r>
        <w:rPr>
          <w:rFonts w:hint="eastAsia" w:ascii="Times New Roman" w:hAnsi="Times New Roman" w:eastAsia="宋体" w:cs="Times New Roman"/>
          <w:kern w:val="0"/>
          <w:sz w:val="28"/>
          <w:szCs w:val="28"/>
          <w:lang w:val="en-US" w:eastAsia="zh-CN" w:bidi="ar-SA"/>
        </w:rPr>
        <w:t>子功能中</w:t>
      </w:r>
      <w:r>
        <w:rPr>
          <w:rFonts w:hint="eastAsia" w:ascii="Times New Roman" w:hAnsi="Times New Roman" w:eastAsia="宋体" w:cs="Times New Roman"/>
          <w:kern w:val="0"/>
          <w:sz w:val="28"/>
          <w:szCs w:val="28"/>
          <w:lang w:val="zh-CN" w:eastAsia="zh-CN" w:bidi="ar-SA"/>
        </w:rPr>
        <w:t>的</w:t>
      </w:r>
      <w:r>
        <w:rPr>
          <w:rFonts w:hint="eastAsia" w:ascii="Times New Roman" w:hAnsi="Times New Roman" w:eastAsia="宋体" w:cs="Times New Roman"/>
          <w:kern w:val="0"/>
          <w:sz w:val="28"/>
          <w:szCs w:val="28"/>
          <w:lang w:val="en-US" w:eastAsia="zh-CN" w:bidi="ar-SA"/>
        </w:rPr>
        <w:t>功能要求</w:t>
      </w:r>
      <w:r>
        <w:rPr>
          <w:rFonts w:hint="eastAsia" w:ascii="Times New Roman" w:hAnsi="Times New Roman" w:eastAsia="宋体" w:cs="Times New Roman"/>
          <w:kern w:val="0"/>
          <w:sz w:val="28"/>
          <w:szCs w:val="28"/>
          <w:lang w:val="zh-CN" w:eastAsia="zh-CN" w:bidi="ar-SA"/>
        </w:rPr>
        <w:t>负偏离超过2个或</w:t>
      </w:r>
      <w:r>
        <w:rPr>
          <w:rFonts w:hint="eastAsia" w:ascii="Times New Roman" w:hAnsi="Times New Roman" w:eastAsia="宋体" w:cs="Times New Roman"/>
          <w:kern w:val="0"/>
          <w:sz w:val="28"/>
          <w:szCs w:val="28"/>
          <w:lang w:val="en-US" w:eastAsia="zh-CN" w:bidi="ar-SA"/>
        </w:rPr>
        <w:t>功能要求</w:t>
      </w:r>
      <w:r>
        <w:rPr>
          <w:rFonts w:hint="eastAsia" w:ascii="Times New Roman" w:hAnsi="Times New Roman" w:eastAsia="宋体" w:cs="Times New Roman"/>
          <w:kern w:val="0"/>
          <w:sz w:val="28"/>
          <w:szCs w:val="28"/>
          <w:lang w:val="zh-CN" w:eastAsia="zh-CN" w:bidi="ar-SA"/>
        </w:rPr>
        <w:t>负偏离数量合计超过</w:t>
      </w:r>
      <w:r>
        <w:rPr>
          <w:rFonts w:hint="eastAsia" w:ascii="Times New Roman" w:hAnsi="Times New Roman" w:eastAsia="宋体" w:cs="Times New Roman"/>
          <w:kern w:val="0"/>
          <w:sz w:val="28"/>
          <w:szCs w:val="28"/>
          <w:lang w:val="en-US" w:eastAsia="zh-CN" w:bidi="ar-SA"/>
        </w:rPr>
        <w:t>10</w:t>
      </w:r>
      <w:r>
        <w:rPr>
          <w:rFonts w:hint="eastAsia" w:ascii="Times New Roman" w:hAnsi="Times New Roman" w:eastAsia="宋体" w:cs="Times New Roman"/>
          <w:kern w:val="0"/>
          <w:sz w:val="28"/>
          <w:szCs w:val="28"/>
          <w:lang w:val="zh-CN" w:eastAsia="zh-CN" w:bidi="ar-SA"/>
        </w:rPr>
        <w:t>个的，投标无效。</w:t>
      </w:r>
    </w:p>
    <w:p>
      <w:pPr>
        <w:numPr>
          <w:ilvl w:val="0"/>
          <w:numId w:val="0"/>
        </w:numPr>
      </w:pPr>
    </w:p>
    <w:tbl>
      <w:tblPr>
        <w:tblStyle w:val="9"/>
        <w:tblW w:w="8696" w:type="dxa"/>
        <w:tblInd w:w="0" w:type="dxa"/>
        <w:tblLayout w:type="fixed"/>
        <w:tblCellMar>
          <w:top w:w="0" w:type="dxa"/>
          <w:left w:w="108" w:type="dxa"/>
          <w:bottom w:w="0" w:type="dxa"/>
          <w:right w:w="108" w:type="dxa"/>
        </w:tblCellMar>
      </w:tblPr>
      <w:tblGrid>
        <w:gridCol w:w="750"/>
        <w:gridCol w:w="905"/>
        <w:gridCol w:w="7041"/>
      </w:tblGrid>
      <w:tr>
        <w:tblPrEx>
          <w:tblCellMar>
            <w:top w:w="0" w:type="dxa"/>
            <w:left w:w="108" w:type="dxa"/>
            <w:bottom w:w="0" w:type="dxa"/>
            <w:right w:w="108" w:type="dxa"/>
          </w:tblCellMar>
        </w:tblPrEx>
        <w:trPr>
          <w:trHeight w:val="732" w:hRule="atLeast"/>
        </w:trPr>
        <w:tc>
          <w:tcPr>
            <w:tcW w:w="7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功能模块</w:t>
            </w:r>
          </w:p>
        </w:tc>
        <w:tc>
          <w:tcPr>
            <w:tcW w:w="90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textAlignment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子功能</w:t>
            </w:r>
          </w:p>
        </w:tc>
        <w:tc>
          <w:tcPr>
            <w:tcW w:w="7041"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功能要求</w:t>
            </w:r>
          </w:p>
        </w:tc>
      </w:tr>
      <w:tr>
        <w:tblPrEx>
          <w:tblCellMar>
            <w:top w:w="0" w:type="dxa"/>
            <w:left w:w="108" w:type="dxa"/>
            <w:bottom w:w="0" w:type="dxa"/>
            <w:right w:w="108" w:type="dxa"/>
          </w:tblCellMar>
        </w:tblPrEx>
        <w:trPr>
          <w:trHeight w:val="1134" w:hRule="atLeast"/>
        </w:trPr>
        <w:tc>
          <w:tcPr>
            <w:tcW w:w="750" w:type="dxa"/>
            <w:tcBorders>
              <w:top w:val="single" w:color="000000" w:sz="4" w:space="0"/>
              <w:left w:val="single" w:color="000000" w:sz="4" w:space="0"/>
              <w:bottom w:val="single" w:color="000000" w:sz="4" w:space="0"/>
              <w:right w:val="single" w:color="auto" w:sz="4" w:space="0"/>
            </w:tcBorders>
            <w:vAlign w:val="center"/>
          </w:tcPr>
          <w:p>
            <w:pPr>
              <w:widowControl/>
              <w:spacing w:line="400" w:lineRule="exact"/>
              <w:jc w:val="center"/>
              <w:rPr>
                <w:rFonts w:ascii="宋体" w:hAnsi="宋体" w:cs="Arial"/>
                <w:color w:val="auto"/>
                <w:kern w:val="0"/>
                <w:szCs w:val="21"/>
                <w:highlight w:val="none"/>
              </w:rPr>
            </w:pPr>
            <w:r>
              <w:rPr>
                <w:rFonts w:hint="eastAsia" w:ascii="宋体" w:hAnsi="宋体" w:cs="Arial"/>
                <w:color w:val="auto"/>
                <w:kern w:val="0"/>
                <w:szCs w:val="21"/>
                <w:highlight w:val="none"/>
              </w:rPr>
              <w:t>整</w:t>
            </w:r>
          </w:p>
          <w:p>
            <w:pPr>
              <w:widowControl/>
              <w:spacing w:line="400" w:lineRule="exact"/>
              <w:jc w:val="center"/>
              <w:rPr>
                <w:rFonts w:ascii="宋体" w:hAnsi="宋体" w:cs="Arial"/>
                <w:color w:val="auto"/>
                <w:kern w:val="0"/>
                <w:szCs w:val="21"/>
                <w:highlight w:val="none"/>
              </w:rPr>
            </w:pPr>
            <w:r>
              <w:rPr>
                <w:rFonts w:hint="eastAsia" w:ascii="宋体" w:hAnsi="宋体" w:cs="Arial"/>
                <w:color w:val="auto"/>
                <w:kern w:val="0"/>
                <w:szCs w:val="21"/>
                <w:highlight w:val="none"/>
              </w:rPr>
              <w:t>体</w:t>
            </w:r>
          </w:p>
          <w:p>
            <w:pPr>
              <w:widowControl/>
              <w:spacing w:line="400" w:lineRule="exact"/>
              <w:jc w:val="center"/>
              <w:rPr>
                <w:rFonts w:ascii="宋体" w:hAnsi="宋体" w:cs="Arial"/>
                <w:color w:val="auto"/>
                <w:kern w:val="0"/>
                <w:szCs w:val="21"/>
                <w:highlight w:val="none"/>
              </w:rPr>
            </w:pPr>
            <w:r>
              <w:rPr>
                <w:rFonts w:hint="eastAsia" w:ascii="宋体" w:hAnsi="宋体" w:cs="Arial"/>
                <w:color w:val="auto"/>
                <w:kern w:val="0"/>
                <w:szCs w:val="21"/>
                <w:highlight w:val="none"/>
              </w:rPr>
              <w:t>平</w:t>
            </w:r>
          </w:p>
          <w:p>
            <w:pPr>
              <w:widowControl/>
              <w:spacing w:line="400" w:lineRule="exact"/>
              <w:jc w:val="center"/>
              <w:rPr>
                <w:rFonts w:ascii="宋体" w:hAnsi="宋体" w:cs="Arial"/>
                <w:color w:val="auto"/>
                <w:kern w:val="0"/>
                <w:szCs w:val="21"/>
                <w:highlight w:val="none"/>
              </w:rPr>
            </w:pPr>
            <w:r>
              <w:rPr>
                <w:rFonts w:hint="eastAsia" w:ascii="宋体" w:hAnsi="宋体" w:cs="Arial"/>
                <w:color w:val="auto"/>
                <w:kern w:val="0"/>
                <w:szCs w:val="21"/>
                <w:highlight w:val="none"/>
              </w:rPr>
              <w:t>台</w:t>
            </w:r>
          </w:p>
        </w:tc>
        <w:tc>
          <w:tcPr>
            <w:tcW w:w="905"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center"/>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系统整体要求</w:t>
            </w:r>
          </w:p>
        </w:tc>
        <w:tc>
          <w:tcPr>
            <w:tcW w:w="7041"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both"/>
              <w:rPr>
                <w:rFonts w:ascii="宋体" w:hAnsi="宋体" w:eastAsia="宋体" w:cs="宋体"/>
                <w:color w:val="auto"/>
                <w:sz w:val="21"/>
                <w:szCs w:val="21"/>
                <w:lang w:eastAsia="zh-CN"/>
              </w:rPr>
            </w:pPr>
            <w:bookmarkStart w:id="26" w:name="_Toc4151"/>
            <w:r>
              <w:rPr>
                <w:rFonts w:ascii="宋体" w:hAnsi="宋体" w:eastAsia="宋体" w:cs="宋体"/>
                <w:color w:val="auto"/>
                <w:sz w:val="21"/>
                <w:szCs w:val="21"/>
                <w:lang w:eastAsia="zh-CN"/>
              </w:rPr>
              <w:t>★1、</w:t>
            </w:r>
            <w:r>
              <w:rPr>
                <w:rFonts w:ascii="宋体" w:hAnsi="宋体" w:eastAsia="宋体" w:cs="宋体"/>
                <w:color w:val="auto"/>
                <w:sz w:val="21"/>
                <w:szCs w:val="21"/>
                <w:highlight w:val="none"/>
                <w:lang w:val="es-AR" w:eastAsia="zh-CN"/>
              </w:rPr>
              <w:t>系统</w:t>
            </w:r>
            <w:r>
              <w:rPr>
                <w:rFonts w:ascii="宋体" w:hAnsi="宋体" w:eastAsia="宋体" w:cs="宋体"/>
                <w:color w:val="auto"/>
                <w:sz w:val="21"/>
                <w:szCs w:val="21"/>
                <w:lang w:val="es-AR" w:eastAsia="zh-CN"/>
              </w:rPr>
              <w:t>以现有数据库为基础架构</w:t>
            </w:r>
            <w:r>
              <w:rPr>
                <w:rFonts w:ascii="宋体" w:hAnsi="宋体" w:eastAsia="宋体" w:cs="宋体"/>
                <w:color w:val="auto"/>
                <w:sz w:val="21"/>
                <w:szCs w:val="21"/>
                <w:lang w:eastAsia="zh-CN"/>
              </w:rPr>
              <w:t>，采用B/S结构。（</w:t>
            </w:r>
            <w:r>
              <w:rPr>
                <w:rFonts w:ascii="宋体" w:hAnsi="宋体" w:eastAsia="宋体" w:cs="宋体"/>
                <w:b/>
                <w:bCs/>
                <w:color w:val="FF0000"/>
                <w:sz w:val="21"/>
                <w:szCs w:val="21"/>
                <w:lang w:eastAsia="zh-CN"/>
              </w:rPr>
              <w:t>提供书面承诺函，并加盖公章</w:t>
            </w:r>
            <w:r>
              <w:rPr>
                <w:rFonts w:ascii="宋体" w:hAnsi="宋体" w:eastAsia="宋体" w:cs="宋体"/>
                <w:color w:val="auto"/>
                <w:sz w:val="21"/>
                <w:szCs w:val="21"/>
                <w:lang w:eastAsia="zh-CN"/>
              </w:rPr>
              <w:t>）</w:t>
            </w:r>
          </w:p>
          <w:p>
            <w:pPr>
              <w:pStyle w:val="14"/>
              <w:spacing w:line="360" w:lineRule="auto"/>
              <w:jc w:val="both"/>
              <w:rPr>
                <w:rFonts w:hint="default" w:ascii="宋体" w:hAnsi="宋体" w:eastAsia="宋体" w:cs="宋体"/>
                <w:color w:val="auto"/>
                <w:sz w:val="21"/>
                <w:szCs w:val="21"/>
                <w:lang w:eastAsia="zh-CN"/>
              </w:rPr>
            </w:pPr>
            <w:r>
              <w:rPr>
                <w:rFonts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2</w:t>
            </w:r>
            <w:r>
              <w:rPr>
                <w:rFonts w:ascii="宋体" w:hAnsi="宋体" w:eastAsia="宋体" w:cs="宋体"/>
                <w:color w:val="auto"/>
                <w:sz w:val="21"/>
                <w:szCs w:val="21"/>
                <w:lang w:eastAsia="zh-CN"/>
              </w:rPr>
              <w:t>、</w:t>
            </w:r>
            <w:r>
              <w:rPr>
                <w:rFonts w:hint="eastAsia" w:ascii="宋体" w:hAnsi="宋体" w:eastAsia="宋体" w:cs="宋体"/>
                <w:color w:val="auto"/>
                <w:sz w:val="21"/>
                <w:szCs w:val="21"/>
                <w:lang w:eastAsia="zh-CN"/>
              </w:rPr>
              <w:t>配合通过三级等保测评，</w:t>
            </w:r>
            <w:r>
              <w:rPr>
                <w:rFonts w:hint="eastAsia" w:ascii="宋体" w:hAnsi="宋体" w:eastAsia="宋体" w:cs="宋体"/>
                <w:color w:val="auto"/>
                <w:sz w:val="21"/>
                <w:szCs w:val="21"/>
                <w:lang w:val="en-US" w:eastAsia="zh-CN"/>
              </w:rPr>
              <w:t>不额外收取费用</w:t>
            </w:r>
            <w:r>
              <w:rPr>
                <w:rFonts w:ascii="宋体" w:hAnsi="宋体" w:eastAsia="宋体" w:cs="宋体"/>
                <w:color w:val="auto"/>
                <w:sz w:val="21"/>
                <w:szCs w:val="21"/>
                <w:lang w:eastAsia="zh-CN"/>
              </w:rPr>
              <w:t>。（</w:t>
            </w:r>
            <w:r>
              <w:rPr>
                <w:rFonts w:ascii="宋体" w:hAnsi="宋体" w:eastAsia="宋体" w:cs="宋体"/>
                <w:b/>
                <w:bCs/>
                <w:color w:val="FF0000"/>
                <w:sz w:val="21"/>
                <w:szCs w:val="21"/>
                <w:lang w:eastAsia="zh-CN"/>
              </w:rPr>
              <w:t>提供书面承诺函，并加盖公章</w:t>
            </w:r>
            <w:r>
              <w:rPr>
                <w:rFonts w:ascii="宋体" w:hAnsi="宋体" w:eastAsia="宋体" w:cs="宋体"/>
                <w:color w:val="auto"/>
                <w:sz w:val="21"/>
                <w:szCs w:val="21"/>
                <w:lang w:eastAsia="zh-CN"/>
              </w:rPr>
              <w:t>）</w:t>
            </w:r>
          </w:p>
          <w:p>
            <w:pPr>
              <w:pStyle w:val="14"/>
              <w:numPr>
                <w:ilvl w:val="0"/>
                <w:numId w:val="0"/>
              </w:numPr>
              <w:spacing w:line="360" w:lineRule="auto"/>
              <w:jc w:val="both"/>
              <w:rPr>
                <w:rFonts w:hint="default"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3、</w:t>
            </w:r>
            <w:r>
              <w:rPr>
                <w:rFonts w:ascii="宋体" w:hAnsi="宋体" w:eastAsia="宋体" w:cs="宋体"/>
                <w:color w:val="auto"/>
                <w:sz w:val="21"/>
                <w:szCs w:val="21"/>
                <w:lang w:eastAsia="zh-CN"/>
              </w:rPr>
              <w:t>应用系统须具有良好的安全机制完成用户的认证、授权和数据保密</w:t>
            </w:r>
            <w:r>
              <w:rPr>
                <w:rFonts w:hint="eastAsia" w:ascii="宋体" w:hAnsi="宋体" w:eastAsia="宋体" w:cs="宋体"/>
                <w:color w:val="auto"/>
                <w:sz w:val="21"/>
                <w:szCs w:val="21"/>
                <w:lang w:eastAsia="zh-CN"/>
              </w:rPr>
              <w:t>，实现同一用户同一时间只在同一终端登陆及病理报告电子签名。</w:t>
            </w:r>
          </w:p>
          <w:p>
            <w:pPr>
              <w:pStyle w:val="8"/>
              <w:spacing w:line="360" w:lineRule="auto"/>
              <w:ind w:left="0" w:leftChars="0" w:firstLine="0" w:firstLineChars="0"/>
              <w:rPr>
                <w:rFonts w:ascii="宋体" w:hAnsi="宋体" w:eastAsia="宋体" w:cs="宋体"/>
                <w:color w:val="auto"/>
                <w:kern w:val="0"/>
                <w:szCs w:val="21"/>
              </w:rPr>
            </w:pPr>
            <w:r>
              <w:rPr>
                <w:rFonts w:hint="eastAsia" w:ascii="宋体" w:hAnsi="宋体" w:eastAsia="宋体" w:cs="宋体"/>
                <w:color w:val="auto"/>
                <w:kern w:val="0"/>
                <w:szCs w:val="21"/>
              </w:rPr>
              <w:t>★</w:t>
            </w:r>
            <w:r>
              <w:rPr>
                <w:rFonts w:hint="eastAsia" w:ascii="宋体" w:hAnsi="宋体" w:eastAsia="宋体" w:cs="宋体"/>
                <w:color w:val="auto"/>
                <w:kern w:val="0"/>
                <w:szCs w:val="21"/>
                <w:lang w:val="en-US" w:eastAsia="zh-CN"/>
              </w:rPr>
              <w:t>4、</w:t>
            </w:r>
            <w:r>
              <w:rPr>
                <w:rFonts w:hint="eastAsia" w:ascii="宋体" w:hAnsi="宋体" w:eastAsia="宋体" w:cs="宋体"/>
                <w:color w:val="auto"/>
                <w:kern w:val="0"/>
                <w:szCs w:val="21"/>
              </w:rPr>
              <w:t>支持与科室现有玻片打号机、蜡块打号机、免疫组化自动染色仪、分子报告系统的对接整合以及现有病理信息系统的数据迁移等接口对接，不额外收取费用。(</w:t>
            </w:r>
            <w:r>
              <w:rPr>
                <w:rFonts w:hint="eastAsia" w:ascii="宋体" w:hAnsi="宋体" w:eastAsia="宋体" w:cs="宋体"/>
                <w:b/>
                <w:bCs/>
                <w:color w:val="FF0000"/>
                <w:kern w:val="0"/>
                <w:szCs w:val="21"/>
              </w:rPr>
              <w:t>需提供书面承诺函，并加盖公章</w:t>
            </w:r>
            <w:r>
              <w:rPr>
                <w:rFonts w:hint="eastAsia" w:ascii="宋体" w:hAnsi="宋体" w:eastAsia="宋体" w:cs="宋体"/>
                <w:color w:val="auto"/>
                <w:kern w:val="0"/>
                <w:szCs w:val="21"/>
              </w:rPr>
              <w:t>)</w:t>
            </w:r>
          </w:p>
          <w:p>
            <w:pPr>
              <w:pStyle w:val="14"/>
              <w:spacing w:line="360" w:lineRule="auto"/>
              <w:jc w:val="both"/>
              <w:rPr>
                <w:rFonts w:hint="default" w:ascii="宋体" w:hAnsi="宋体" w:eastAsia="宋体" w:cs="宋体"/>
                <w:color w:val="auto"/>
                <w:sz w:val="21"/>
                <w:szCs w:val="21"/>
                <w:lang w:eastAsia="zh-CN"/>
              </w:rPr>
            </w:pPr>
            <w:r>
              <w:rPr>
                <w:rFonts w:ascii="宋体" w:hAnsi="宋体" w:eastAsia="宋体" w:cs="宋体"/>
                <w:color w:val="auto"/>
                <w:sz w:val="21"/>
                <w:szCs w:val="21"/>
                <w:lang w:val="en-GB" w:eastAsia="zh-CN"/>
              </w:rPr>
              <w:t>▲</w:t>
            </w:r>
            <w:r>
              <w:rPr>
                <w:rFonts w:hint="eastAsia" w:ascii="宋体" w:hAnsi="宋体" w:eastAsia="宋体" w:cs="宋体"/>
                <w:color w:val="auto"/>
                <w:sz w:val="21"/>
                <w:szCs w:val="21"/>
                <w:lang w:val="en-US" w:eastAsia="zh-CN"/>
              </w:rPr>
              <w:t>5、</w:t>
            </w:r>
            <w:r>
              <w:rPr>
                <w:rFonts w:ascii="宋体" w:hAnsi="宋体" w:eastAsia="宋体" w:cs="宋体"/>
                <w:color w:val="auto"/>
                <w:sz w:val="21"/>
                <w:szCs w:val="21"/>
                <w:lang w:eastAsia="zh-CN"/>
              </w:rPr>
              <w:t>实现与现有HIS</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LIS、PACS等</w:t>
            </w:r>
            <w:r>
              <w:rPr>
                <w:rFonts w:ascii="宋体" w:hAnsi="宋体" w:eastAsia="宋体" w:cs="宋体"/>
                <w:color w:val="auto"/>
                <w:sz w:val="21"/>
                <w:szCs w:val="21"/>
                <w:lang w:eastAsia="zh-CN"/>
              </w:rPr>
              <w:t>系统的接口对接</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并</w:t>
            </w:r>
            <w:r>
              <w:rPr>
                <w:rFonts w:ascii="宋体" w:hAnsi="宋体" w:eastAsia="宋体" w:cs="宋体"/>
                <w:color w:val="auto"/>
                <w:sz w:val="21"/>
                <w:szCs w:val="21"/>
                <w:lang w:eastAsia="zh-CN"/>
              </w:rPr>
              <w:t>开放本系统的软件接口，</w:t>
            </w:r>
            <w:r>
              <w:rPr>
                <w:rFonts w:hint="eastAsia" w:ascii="宋体" w:hAnsi="宋体" w:eastAsia="宋体" w:cs="宋体"/>
                <w:color w:val="auto"/>
                <w:sz w:val="21"/>
                <w:szCs w:val="21"/>
                <w:lang w:val="en-US" w:eastAsia="zh-CN"/>
              </w:rPr>
              <w:t>配合</w:t>
            </w:r>
            <w:r>
              <w:rPr>
                <w:rFonts w:ascii="宋体" w:hAnsi="宋体" w:eastAsia="宋体" w:cs="宋体"/>
                <w:color w:val="auto"/>
                <w:sz w:val="21"/>
                <w:szCs w:val="21"/>
                <w:lang w:eastAsia="zh-CN"/>
              </w:rPr>
              <w:t>后期医院</w:t>
            </w:r>
            <w:r>
              <w:rPr>
                <w:rFonts w:hint="eastAsia" w:ascii="宋体" w:hAnsi="宋体" w:eastAsia="宋体" w:cs="宋体"/>
                <w:color w:val="auto"/>
                <w:sz w:val="21"/>
                <w:szCs w:val="21"/>
                <w:lang w:val="en-US" w:eastAsia="zh-CN"/>
              </w:rPr>
              <w:t>其他</w:t>
            </w:r>
            <w:r>
              <w:rPr>
                <w:rFonts w:ascii="宋体" w:hAnsi="宋体" w:eastAsia="宋体" w:cs="宋体"/>
                <w:color w:val="auto"/>
                <w:sz w:val="21"/>
                <w:szCs w:val="21"/>
                <w:lang w:eastAsia="zh-CN"/>
              </w:rPr>
              <w:t>系统接入，不额外收取费用。(</w:t>
            </w:r>
            <w:r>
              <w:rPr>
                <w:rFonts w:ascii="宋体" w:hAnsi="宋体" w:eastAsia="宋体" w:cs="宋体"/>
                <w:b/>
                <w:bCs/>
                <w:color w:val="FF0000"/>
                <w:sz w:val="21"/>
                <w:szCs w:val="21"/>
                <w:lang w:eastAsia="zh-CN"/>
              </w:rPr>
              <w:t>需提供书面承诺函，并加盖公章</w:t>
            </w:r>
            <w:r>
              <w:rPr>
                <w:rFonts w:ascii="宋体" w:hAnsi="宋体" w:eastAsia="宋体" w:cs="宋体"/>
                <w:color w:val="auto"/>
                <w:sz w:val="21"/>
                <w:szCs w:val="21"/>
                <w:lang w:eastAsia="zh-CN"/>
              </w:rPr>
              <w:t xml:space="preserve">) </w:t>
            </w:r>
          </w:p>
          <w:p>
            <w:pPr>
              <w:spacing w:line="480" w:lineRule="exact"/>
              <w:rPr>
                <w:rFonts w:ascii="宋体" w:hAnsi="宋体" w:eastAsia="宋体" w:cs="宋体"/>
                <w:color w:val="auto"/>
                <w:kern w:val="0"/>
                <w:szCs w:val="21"/>
                <w:highlight w:val="none"/>
              </w:rPr>
            </w:pPr>
            <w:r>
              <w:rPr>
                <w:rFonts w:ascii="宋体" w:hAnsi="宋体" w:eastAsia="宋体" w:cs="宋体"/>
                <w:color w:val="auto"/>
                <w:sz w:val="21"/>
                <w:szCs w:val="21"/>
                <w:lang w:val="en-GB" w:eastAsia="zh-CN"/>
              </w:rPr>
              <w:t>▲</w:t>
            </w:r>
            <w:r>
              <w:rPr>
                <w:rFonts w:hint="eastAsia" w:ascii="宋体" w:hAnsi="宋体" w:eastAsia="宋体" w:cs="宋体"/>
                <w:color w:val="auto"/>
                <w:kern w:val="0"/>
                <w:szCs w:val="21"/>
                <w:lang w:val="en-US" w:eastAsia="zh-CN"/>
              </w:rPr>
              <w:t>6</w:t>
            </w:r>
            <w:r>
              <w:rPr>
                <w:rFonts w:hint="eastAsia" w:ascii="宋体" w:hAnsi="宋体" w:eastAsia="宋体" w:cs="宋体"/>
                <w:color w:val="auto"/>
                <w:kern w:val="0"/>
                <w:szCs w:val="21"/>
              </w:rPr>
              <w:t>、</w:t>
            </w:r>
            <w:bookmarkEnd w:id="26"/>
            <w:r>
              <w:rPr>
                <w:rFonts w:hint="eastAsia" w:ascii="宋体" w:hAnsi="宋体" w:eastAsia="宋体" w:cs="宋体"/>
                <w:color w:val="auto"/>
                <w:szCs w:val="21"/>
                <w:lang w:val="es-AR"/>
              </w:rPr>
              <w:t>提供真实、合理、清晰、可行的历史数据整合方案，确保将现有系统中病理数据完整、真实、准确、有效迁移、利用到新系统中，保证新系统数据利用的延续性，并提供历史病理检查的自动提示。（</w:t>
            </w:r>
            <w:r>
              <w:rPr>
                <w:rFonts w:hint="eastAsia" w:ascii="宋体" w:hAnsi="宋体" w:eastAsia="宋体" w:cs="宋体"/>
                <w:b/>
                <w:bCs/>
                <w:color w:val="FF0000"/>
                <w:szCs w:val="21"/>
                <w:lang w:val="es-AR"/>
              </w:rPr>
              <w:t>承诺中标后提供历史数据整合方案，并加盖公章</w:t>
            </w:r>
            <w:r>
              <w:rPr>
                <w:rFonts w:hint="eastAsia" w:ascii="宋体" w:hAnsi="宋体" w:eastAsia="宋体" w:cs="宋体"/>
                <w:color w:val="auto"/>
                <w:szCs w:val="21"/>
                <w:lang w:val="es-AR"/>
              </w:rPr>
              <w:t>）</w:t>
            </w:r>
          </w:p>
        </w:tc>
      </w:tr>
      <w:tr>
        <w:tblPrEx>
          <w:tblCellMar>
            <w:top w:w="0" w:type="dxa"/>
            <w:left w:w="108" w:type="dxa"/>
            <w:bottom w:w="0" w:type="dxa"/>
            <w:right w:w="108" w:type="dxa"/>
          </w:tblCellMar>
        </w:tblPrEx>
        <w:trPr>
          <w:trHeight w:val="397" w:hRule="atLeast"/>
        </w:trPr>
        <w:tc>
          <w:tcPr>
            <w:tcW w:w="750" w:type="dxa"/>
            <w:vMerge w:val="restart"/>
            <w:tcBorders>
              <w:top w:val="single" w:color="000000" w:sz="4" w:space="0"/>
              <w:left w:val="single" w:color="000000" w:sz="4" w:space="0"/>
              <w:right w:val="single" w:color="auto" w:sz="4" w:space="0"/>
            </w:tcBorders>
            <w:vAlign w:val="center"/>
          </w:tcPr>
          <w:p>
            <w:pPr>
              <w:widowControl/>
              <w:spacing w:line="400" w:lineRule="exact"/>
              <w:jc w:val="center"/>
              <w:rPr>
                <w:rFonts w:ascii="宋体" w:hAnsi="宋体" w:eastAsia="宋体" w:cs="宋体"/>
                <w:color w:val="auto"/>
                <w:kern w:val="0"/>
                <w:szCs w:val="21"/>
                <w:highlight w:val="none"/>
              </w:rPr>
            </w:pPr>
          </w:p>
          <w:p>
            <w:pPr>
              <w:widowControl/>
              <w:spacing w:line="400" w:lineRule="exact"/>
              <w:jc w:val="center"/>
              <w:rPr>
                <w:rFonts w:ascii="宋体" w:hAnsi="宋体" w:eastAsia="宋体" w:cs="宋体"/>
                <w:color w:val="auto"/>
                <w:kern w:val="0"/>
                <w:szCs w:val="21"/>
                <w:highlight w:val="none"/>
              </w:rPr>
            </w:pPr>
          </w:p>
          <w:p>
            <w:pPr>
              <w:widowControl/>
              <w:spacing w:line="400" w:lineRule="exact"/>
              <w:jc w:val="center"/>
              <w:rPr>
                <w:rFonts w:ascii="宋体" w:hAnsi="宋体" w:eastAsia="宋体" w:cs="宋体"/>
                <w:color w:val="auto"/>
                <w:kern w:val="0"/>
                <w:szCs w:val="21"/>
                <w:highlight w:val="none"/>
              </w:rPr>
            </w:pPr>
          </w:p>
          <w:p>
            <w:pPr>
              <w:widowControl/>
              <w:spacing w:line="400" w:lineRule="exact"/>
              <w:jc w:val="center"/>
              <w:rPr>
                <w:rFonts w:ascii="宋体" w:hAnsi="宋体" w:eastAsia="宋体" w:cs="宋体"/>
                <w:color w:val="auto"/>
                <w:kern w:val="0"/>
                <w:szCs w:val="21"/>
                <w:highlight w:val="none"/>
              </w:rPr>
            </w:pPr>
          </w:p>
          <w:p>
            <w:pPr>
              <w:widowControl/>
              <w:spacing w:line="400" w:lineRule="exact"/>
              <w:jc w:val="center"/>
              <w:rPr>
                <w:rFonts w:ascii="宋体" w:hAnsi="宋体" w:eastAsia="宋体" w:cs="宋体"/>
                <w:color w:val="auto"/>
                <w:kern w:val="0"/>
                <w:szCs w:val="21"/>
                <w:highlight w:val="none"/>
              </w:rPr>
            </w:pPr>
          </w:p>
          <w:p>
            <w:pPr>
              <w:widowControl/>
              <w:spacing w:line="400" w:lineRule="exact"/>
              <w:jc w:val="center"/>
              <w:rPr>
                <w:rFonts w:ascii="宋体" w:hAnsi="宋体" w:eastAsia="宋体" w:cs="宋体"/>
                <w:color w:val="auto"/>
                <w:kern w:val="0"/>
                <w:szCs w:val="21"/>
                <w:highlight w:val="none"/>
              </w:rPr>
            </w:pPr>
          </w:p>
          <w:p>
            <w:pPr>
              <w:widowControl/>
              <w:spacing w:line="400" w:lineRule="exact"/>
              <w:jc w:val="center"/>
              <w:rPr>
                <w:rFonts w:ascii="宋体" w:hAnsi="宋体" w:eastAsia="宋体" w:cs="宋体"/>
                <w:color w:val="auto"/>
                <w:kern w:val="0"/>
                <w:szCs w:val="21"/>
                <w:highlight w:val="none"/>
              </w:rPr>
            </w:pPr>
          </w:p>
          <w:p>
            <w:pPr>
              <w:widowControl/>
              <w:spacing w:line="400" w:lineRule="exact"/>
              <w:jc w:val="center"/>
              <w:rPr>
                <w:rFonts w:ascii="宋体" w:hAnsi="宋体" w:eastAsia="宋体" w:cs="宋体"/>
                <w:color w:val="auto"/>
                <w:kern w:val="0"/>
                <w:szCs w:val="21"/>
                <w:highlight w:val="none"/>
              </w:rPr>
            </w:pPr>
          </w:p>
          <w:p>
            <w:pPr>
              <w:widowControl/>
              <w:spacing w:line="400" w:lineRule="exact"/>
              <w:jc w:val="center"/>
              <w:rPr>
                <w:rFonts w:ascii="宋体" w:hAnsi="宋体" w:eastAsia="宋体" w:cs="宋体"/>
                <w:color w:val="auto"/>
                <w:kern w:val="0"/>
                <w:szCs w:val="21"/>
                <w:highlight w:val="none"/>
              </w:rPr>
            </w:pPr>
          </w:p>
          <w:p>
            <w:pPr>
              <w:widowControl/>
              <w:spacing w:line="400" w:lineRule="exact"/>
              <w:jc w:val="center"/>
              <w:rPr>
                <w:rFonts w:ascii="宋体" w:hAnsi="宋体" w:eastAsia="宋体" w:cs="宋体"/>
                <w:color w:val="auto"/>
                <w:kern w:val="0"/>
                <w:szCs w:val="21"/>
                <w:highlight w:val="none"/>
              </w:rPr>
            </w:pPr>
          </w:p>
          <w:p>
            <w:pPr>
              <w:widowControl/>
              <w:spacing w:line="400" w:lineRule="exact"/>
              <w:jc w:val="center"/>
              <w:rPr>
                <w:rFonts w:ascii="宋体" w:hAnsi="宋体" w:eastAsia="宋体" w:cs="宋体"/>
                <w:color w:val="auto"/>
                <w:kern w:val="0"/>
                <w:szCs w:val="21"/>
                <w:highlight w:val="none"/>
              </w:rPr>
            </w:pPr>
          </w:p>
          <w:p>
            <w:pPr>
              <w:widowControl/>
              <w:spacing w:line="400" w:lineRule="exact"/>
              <w:jc w:val="center"/>
              <w:rPr>
                <w:rFonts w:ascii="宋体" w:hAnsi="宋体" w:eastAsia="宋体" w:cs="宋体"/>
                <w:color w:val="auto"/>
                <w:kern w:val="0"/>
                <w:szCs w:val="21"/>
                <w:highlight w:val="none"/>
              </w:rPr>
            </w:pPr>
          </w:p>
          <w:p>
            <w:pPr>
              <w:widowControl/>
              <w:spacing w:line="400" w:lineRule="exact"/>
              <w:jc w:val="center"/>
              <w:rPr>
                <w:rFonts w:ascii="宋体" w:hAnsi="宋体" w:eastAsia="宋体" w:cs="宋体"/>
                <w:color w:val="auto"/>
                <w:kern w:val="0"/>
                <w:szCs w:val="21"/>
                <w:highlight w:val="none"/>
              </w:rPr>
            </w:pPr>
          </w:p>
          <w:p>
            <w:pPr>
              <w:widowControl/>
              <w:spacing w:line="400" w:lineRule="exact"/>
              <w:jc w:val="center"/>
              <w:rPr>
                <w:rFonts w:ascii="宋体" w:hAnsi="宋体" w:eastAsia="宋体" w:cs="宋体"/>
                <w:color w:val="auto"/>
                <w:kern w:val="0"/>
                <w:szCs w:val="21"/>
                <w:highlight w:val="none"/>
              </w:rPr>
            </w:pPr>
          </w:p>
          <w:p>
            <w:pPr>
              <w:widowControl/>
              <w:spacing w:line="400" w:lineRule="exact"/>
              <w:jc w:val="center"/>
              <w:rPr>
                <w:rFonts w:ascii="宋体" w:hAnsi="宋体" w:eastAsia="宋体" w:cs="宋体"/>
                <w:color w:val="auto"/>
                <w:kern w:val="0"/>
                <w:szCs w:val="21"/>
                <w:highlight w:val="none"/>
              </w:rPr>
            </w:pPr>
          </w:p>
          <w:p>
            <w:pPr>
              <w:widowControl/>
              <w:spacing w:line="400" w:lineRule="exact"/>
              <w:rPr>
                <w:rFonts w:ascii="宋体" w:hAnsi="宋体" w:eastAsia="宋体" w:cs="宋体"/>
                <w:color w:val="auto"/>
                <w:kern w:val="0"/>
                <w:szCs w:val="21"/>
                <w:highlight w:val="none"/>
              </w:rPr>
            </w:pPr>
          </w:p>
          <w:p>
            <w:pPr>
              <w:widowControl/>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病</w:t>
            </w:r>
          </w:p>
          <w:p>
            <w:pPr>
              <w:widowControl/>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理</w:t>
            </w:r>
          </w:p>
          <w:p>
            <w:pPr>
              <w:widowControl/>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诊</w:t>
            </w:r>
          </w:p>
          <w:p>
            <w:pPr>
              <w:widowControl/>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疗</w:t>
            </w:r>
          </w:p>
          <w:p>
            <w:pPr>
              <w:widowControl/>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流</w:t>
            </w:r>
          </w:p>
          <w:p>
            <w:pPr>
              <w:widowControl/>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程</w:t>
            </w:r>
          </w:p>
        </w:tc>
        <w:tc>
          <w:tcPr>
            <w:tcW w:w="905"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both"/>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（一）</w:t>
            </w:r>
          </w:p>
          <w:p>
            <w:pPr>
              <w:pStyle w:val="14"/>
              <w:spacing w:line="360" w:lineRule="auto"/>
              <w:jc w:val="center"/>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临床送检工作站</w:t>
            </w:r>
          </w:p>
        </w:tc>
        <w:tc>
          <w:tcPr>
            <w:tcW w:w="7041"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1、临床医生支持通过web端调用HIS自动录入病人信息，并发起病理申请。临床用户点位不少于200个。</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2、快速申请，支持手工录入病人相关信息和扫码（条形码或二维码）调取HIS系统的电子申请单；指定身份证号码为病理系统内唯一身份识别码。</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3、无纸化申请，手术医生无需打印申请单亦可提交病理申请。</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4、打印申请单，若需要纸质申请单亦可一键打印。</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5、标本信息完整，手术医生可以第一时间填写标本信息，包括取样部位、数量、传染性、固定液、备注信息等。</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6、支持标本分类录入，支持按照本院、外院分类。标本模板，手术医生可以根据手术种类设定不同的标本模板，一键调取方便快速填写标本信息。</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7、支持按照常规病理、快速病理、冰冻、细胞学等分类；支持按亚专科进行分库录入。</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8、记录标本标本固定方式，标本离体、标本固定时间、派送时间，让病理医生掌握时间数据。</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9、标本状态查询，反馈标本接收状态、接收人、拒收时间、拒收原因等信息，方便临床医生查询标本送检状态。</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10、用户登陆后自动提醒延迟接收、拒收标本信息。可进行一键取消送检或再次送检。</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11、录入标本完成后，可打印病人回执单或条码单，详细写明取报告的时间和地点，病人可在自助机上自助取报告。</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12、支持为派送员创建账号，扫码交接，记录派送标本包括标本袋数量、派送时间在内的基本信息。</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13、支持派送员交接派送失败的标本，记录临床科室接收员信息。</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14、支持查询诊断结果，并支持自助打印送检标本的诊断报告；支持限制打印次数。</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15、支持冰冻诊断结果实时弹窗提示、语音播报。支持查询冰冻报告医师预留手机号。</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Cs w:val="21"/>
                <w:highlight w:val="none"/>
                <w:lang w:val="es-AR"/>
              </w:rPr>
              <w:t>▲</w:t>
            </w:r>
            <w:r>
              <w:rPr>
                <w:rFonts w:ascii="宋体" w:hAnsi="宋体" w:eastAsia="宋体" w:cs="宋体"/>
                <w:color w:val="auto"/>
                <w:sz w:val="21"/>
                <w:szCs w:val="21"/>
                <w:highlight w:val="none"/>
                <w:lang w:eastAsia="zh-CN"/>
              </w:rPr>
              <w:t>16、各个站点均能显示进度，进度包括登记、取材、脱水、包埋、制片、初诊、复诊、终审、医嘱、延期、报告打印、报告发放等，能查看每个进度节点的时间、操作人，并能导出报表。（</w:t>
            </w:r>
            <w:r>
              <w:rPr>
                <w:rFonts w:ascii="宋体" w:hAnsi="宋体" w:eastAsia="宋体" w:cs="宋体"/>
                <w:b/>
                <w:bCs/>
                <w:color w:val="FF0000"/>
                <w:sz w:val="21"/>
                <w:szCs w:val="21"/>
                <w:highlight w:val="none"/>
                <w:lang w:eastAsia="zh-CN"/>
              </w:rPr>
              <w:t>提供系统截图，并加盖公章</w:t>
            </w:r>
            <w:r>
              <w:rPr>
                <w:rFonts w:ascii="宋体" w:hAnsi="宋体" w:eastAsia="宋体" w:cs="宋体"/>
                <w:color w:val="auto"/>
                <w:sz w:val="21"/>
                <w:szCs w:val="21"/>
                <w:highlight w:val="none"/>
                <w:lang w:eastAsia="zh-CN"/>
              </w:rPr>
              <w:t>）</w:t>
            </w:r>
          </w:p>
        </w:tc>
      </w:tr>
      <w:tr>
        <w:tblPrEx>
          <w:tblCellMar>
            <w:top w:w="0" w:type="dxa"/>
            <w:left w:w="108" w:type="dxa"/>
            <w:bottom w:w="0" w:type="dxa"/>
            <w:right w:w="108" w:type="dxa"/>
          </w:tblCellMar>
        </w:tblPrEx>
        <w:trPr>
          <w:trHeight w:val="90" w:hRule="atLeast"/>
        </w:trPr>
        <w:tc>
          <w:tcPr>
            <w:tcW w:w="750" w:type="dxa"/>
            <w:vMerge w:val="continue"/>
            <w:tcBorders>
              <w:left w:val="single" w:color="000000" w:sz="4" w:space="0"/>
              <w:right w:val="single" w:color="auto" w:sz="4" w:space="0"/>
            </w:tcBorders>
            <w:vAlign w:val="center"/>
          </w:tcPr>
          <w:p>
            <w:pPr>
              <w:widowControl/>
              <w:spacing w:line="400" w:lineRule="exact"/>
              <w:jc w:val="center"/>
              <w:rPr>
                <w:rFonts w:ascii="宋体" w:hAnsi="宋体" w:eastAsia="宋体" w:cs="宋体"/>
                <w:color w:val="auto"/>
                <w:kern w:val="0"/>
                <w:szCs w:val="21"/>
                <w:highlight w:val="none"/>
              </w:rPr>
            </w:pPr>
          </w:p>
        </w:tc>
        <w:tc>
          <w:tcPr>
            <w:tcW w:w="905"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center"/>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（二）标本接收、登记工作站</w:t>
            </w:r>
          </w:p>
        </w:tc>
        <w:tc>
          <w:tcPr>
            <w:tcW w:w="7041"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1、支持条形码/二维码自动扫码接收。</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2、支持来自院内标本、外院标本以及远程病理标本的接收。</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3、标本在送数据汇总，清晰了解当日正在送检病例，科室接收后，自动登记录入并从申请库中移除。</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4、通过病人的门诊卡、身份证或标本条码实现一键读取病人数据，无需人工输入病人申请单信息（需要与医院的第三方软件对接）；支持身份证号码合法性校验。</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5、支持门诊患者自动查询匹配收费情况，包括收费明细、收费金额、申请科室、执行科室，供登记人员核对。</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6、拒收不合格标本，并记录不合格标本拒收原因，实时反馈回临床送检端；系统生成统计报表，可通过标本类型、日期、送检科室、拒收原因进行统计分析。</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7、支持同名检测并提示，可使用身份证号、住院号、ID号、姓名、年龄进行同名检测匹配。</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8、支持标本接收后追加标本；同时支持冰冻标本多次送检使用同一病理号按标本多次报告，对应的常规报告可合并引用多次冰冻报告。</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9、支持分类接收登记，根据分类类型自动生成病理号；支持手动修正病理号；支持病理号连续性及唯一性校验。</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10、支持对所属标本疾病系统进行至少两级分类。例如消化系统-胃。</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11、支持标本接收后同步自动打印病理标签，支持根据标本袋数量打印标签数量。</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12、支持图像识别设备（高拍仪等）对标本、申请单进行拍照保存。支持工作流程中能够在当前工作界面便捷调阅。</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13、打印标本接收回执单，支持按病人单个打印、按送检人批量打印等多种打印模式，并支持自定义回执单内容。</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14、支持来院会诊登记。支持打印会诊回执，并可自定义回执内容</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15、支持报告单发放登记，方便查询报告单领取情况。</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16、支持模板化、批量化导入外单位的excel电子申请单。</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Cs w:val="21"/>
                <w:highlight w:val="none"/>
                <w:lang w:val="es-AR"/>
              </w:rPr>
              <w:t>▲</w:t>
            </w:r>
            <w:r>
              <w:rPr>
                <w:rFonts w:ascii="宋体" w:hAnsi="宋体" w:eastAsia="宋体" w:cs="宋体"/>
                <w:color w:val="auto"/>
                <w:sz w:val="21"/>
                <w:szCs w:val="21"/>
                <w:highlight w:val="none"/>
                <w:lang w:eastAsia="zh-CN"/>
              </w:rPr>
              <w:t>17、支持加急、特殊标本的标注（申请端、前台工作站），并在全科室全员所有工作界面、运营中心大屏醒目显示。（</w:t>
            </w:r>
            <w:r>
              <w:rPr>
                <w:rFonts w:ascii="宋体" w:hAnsi="宋体" w:eastAsia="宋体" w:cs="宋体"/>
                <w:b/>
                <w:bCs/>
                <w:color w:val="FF0000"/>
                <w:sz w:val="21"/>
                <w:szCs w:val="21"/>
                <w:highlight w:val="none"/>
                <w:lang w:eastAsia="zh-CN"/>
              </w:rPr>
              <w:t>提供系统截图，并加盖公章</w:t>
            </w:r>
            <w:r>
              <w:rPr>
                <w:rFonts w:ascii="宋体" w:hAnsi="宋体" w:eastAsia="宋体" w:cs="宋体"/>
                <w:color w:val="auto"/>
                <w:sz w:val="21"/>
                <w:szCs w:val="21"/>
                <w:highlight w:val="none"/>
                <w:lang w:eastAsia="zh-CN"/>
              </w:rPr>
              <w:t>）</w:t>
            </w:r>
          </w:p>
        </w:tc>
      </w:tr>
      <w:tr>
        <w:tblPrEx>
          <w:tblCellMar>
            <w:top w:w="0" w:type="dxa"/>
            <w:left w:w="108" w:type="dxa"/>
            <w:bottom w:w="0" w:type="dxa"/>
            <w:right w:w="108" w:type="dxa"/>
          </w:tblCellMar>
        </w:tblPrEx>
        <w:trPr>
          <w:trHeight w:val="1134" w:hRule="atLeast"/>
        </w:trPr>
        <w:tc>
          <w:tcPr>
            <w:tcW w:w="750" w:type="dxa"/>
            <w:vMerge w:val="continue"/>
            <w:tcBorders>
              <w:left w:val="single" w:color="000000" w:sz="4" w:space="0"/>
              <w:right w:val="single" w:color="auto" w:sz="4" w:space="0"/>
            </w:tcBorders>
            <w:vAlign w:val="center"/>
          </w:tcPr>
          <w:p>
            <w:pPr>
              <w:widowControl/>
              <w:spacing w:line="400" w:lineRule="exact"/>
              <w:jc w:val="center"/>
              <w:rPr>
                <w:rFonts w:ascii="宋体" w:hAnsi="宋体" w:eastAsia="宋体" w:cs="宋体"/>
                <w:color w:val="auto"/>
                <w:kern w:val="0"/>
                <w:szCs w:val="21"/>
                <w:highlight w:val="none"/>
              </w:rPr>
            </w:pPr>
          </w:p>
        </w:tc>
        <w:tc>
          <w:tcPr>
            <w:tcW w:w="905"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center"/>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（三）取材工作站</w:t>
            </w:r>
          </w:p>
        </w:tc>
        <w:tc>
          <w:tcPr>
            <w:tcW w:w="7041"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1、传染病提示，提示取材医生该标本患者具有传染性疾病。</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2、支持标本预处理登记，记录处理时间、处理员，支持后续质控标本固定至预处理的间隔时长。</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3、医嘱优先，未取材列表中优先显示医嘱病例；支持两日以上未取材的标本醒目提醒。</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4、支持取材医生单人取材模式，也支持与记录人员端协同工作进入双人取材模式。</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★5、双人模式下可对取材信息、肉眼所见同步操作，实时更新；且除取材信息和肉眼所见的操作外，记录人员端和取材医生端进行其他操作互不干扰。</w:t>
            </w:r>
            <w:r>
              <w:rPr>
                <w:rFonts w:hint="eastAsia" w:ascii="宋体" w:hAnsi="宋体" w:eastAsia="宋体" w:cs="宋体"/>
                <w:color w:val="auto"/>
                <w:sz w:val="21"/>
                <w:szCs w:val="21"/>
                <w:highlight w:val="none"/>
                <w:lang w:eastAsia="zh-CN"/>
              </w:rPr>
              <w:t>（</w:t>
            </w:r>
            <w:r>
              <w:rPr>
                <w:rFonts w:hint="eastAsia" w:ascii="宋体" w:hAnsi="宋体" w:eastAsia="宋体" w:cs="宋体"/>
                <w:b/>
                <w:bCs/>
                <w:color w:val="FF0000"/>
                <w:sz w:val="21"/>
                <w:szCs w:val="21"/>
                <w:lang w:eastAsia="zh-CN"/>
              </w:rPr>
              <w:t>提供现场系统功能演示，不接受ppt、录像等非系统功能演示形式</w:t>
            </w:r>
            <w:r>
              <w:rPr>
                <w:rFonts w:hint="eastAsia" w:ascii="宋体" w:hAnsi="宋体" w:eastAsia="宋体" w:cs="宋体"/>
                <w:color w:val="auto"/>
                <w:sz w:val="21"/>
                <w:szCs w:val="21"/>
                <w:highlight w:val="none"/>
                <w:lang w:eastAsia="zh-CN"/>
              </w:rPr>
              <w:t>）</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6、支持取材人员登陆时选择并确定脱水篮，同时根据脱水篮容量，自动报满换篮，切换单双人取材模式时不影响脱水篮的选择。</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7、支持光标任意状态下，根据扫码信息内容自动判定扫码动作含义。例如扫描标本袋打开取材工作界面，扫描包埋盒自动核对是否为当前操作病例的包埋盒。</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8、支持光标任意状态下扫描包埋盒，自动核对是否与当前操作病例匹配，自动报错，有扫码顺序记录并供查询。</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9、支持调阅患者历史病历、冰冻信息、影像信息。</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10、支持调用文档、视频形式的取材技术操作规范。</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11、支持拍照、录音、录像，支持无互联网支持下自动语音转文字录入，病理专业词汇录入成功率不低于90%，支持语音词库维护。</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12、支持大体标本拍摄时进行尺寸测量及图像处理，如镜像、图形标注、文字注解等。</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13、支持与监控系统对接，对取材过程分阶段自动录像，并可一键查询某病例对应的取材录像。</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14、包埋盒打印功能，可接本科室现有包埋盒打印机打印，同时市场主流包埋盒打号机进行无缝打印。</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15、可根据送检标本，调用标准取材包埋盒列表模板，快速建立包埋盒列表。支持与包埋盒打印机对接一键打印包埋盒列表。</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16、术后冰冻的取材应自动继承术中冰冻取材描述信息。</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17、有“附言”记录功能，可选“用完”、“脱钙”、“保留”等内容用来记录取材的特殊要求；支持内镜标本取材时一键开启默认“用完”附言。</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18、支持对每一例标本的脱钙时间、延长取材时间等进行时长标注，并且在结束前自动发送消息至相关的取材医生账号；支持该例报告的诊断时间质控在国家规定时长上自动加上所设置的时间，后期质控自动过滤。</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19、支持记录修改取材内容的明细日志；支持报告已发布（审核）的病例如果需要修改取材内容需在本站中一键向审核医生申请修改，同时保存详细的修改记录。</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20、剩余标本定期清理提醒，支持批量剩余标本清理，打印标本清理交接单。</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21、取材结束后，需经过取材医生点击确认后结束取材。</w:t>
            </w:r>
          </w:p>
        </w:tc>
      </w:tr>
      <w:tr>
        <w:tblPrEx>
          <w:tblCellMar>
            <w:top w:w="0" w:type="dxa"/>
            <w:left w:w="108" w:type="dxa"/>
            <w:bottom w:w="0" w:type="dxa"/>
            <w:right w:w="108" w:type="dxa"/>
          </w:tblCellMar>
        </w:tblPrEx>
        <w:trPr>
          <w:trHeight w:val="1134" w:hRule="atLeast"/>
        </w:trPr>
        <w:tc>
          <w:tcPr>
            <w:tcW w:w="750" w:type="dxa"/>
            <w:vMerge w:val="continue"/>
            <w:tcBorders>
              <w:left w:val="single" w:color="000000" w:sz="4" w:space="0"/>
              <w:right w:val="single" w:color="auto" w:sz="4" w:space="0"/>
            </w:tcBorders>
            <w:vAlign w:val="center"/>
          </w:tcPr>
          <w:p>
            <w:pPr>
              <w:widowControl/>
              <w:spacing w:line="400" w:lineRule="exact"/>
              <w:jc w:val="center"/>
              <w:rPr>
                <w:rFonts w:ascii="宋体" w:hAnsi="宋体" w:eastAsia="宋体" w:cs="宋体"/>
                <w:color w:val="auto"/>
                <w:kern w:val="0"/>
                <w:szCs w:val="21"/>
                <w:highlight w:val="none"/>
              </w:rPr>
            </w:pPr>
          </w:p>
        </w:tc>
        <w:tc>
          <w:tcPr>
            <w:tcW w:w="905"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center"/>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（四）脱水工作站</w:t>
            </w:r>
          </w:p>
        </w:tc>
        <w:tc>
          <w:tcPr>
            <w:tcW w:w="7041"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取材完成后支持按脱水篮批量核对（脱水交接），支持通过高拍仪或其他图像识别设备实现对整框包埋盒一次性识别，并变更样本状态，整框识别时间≤10s。统计识别到的病例总数，蜡块总数以及未识别到蜡块，成功和失败的不同颜色显示。同时未识别的包埋盒支持不单独摆放的情况下进行二次识别；支持识别后保存页面设计识别原始图。</w:t>
            </w:r>
            <w:r>
              <w:rPr>
                <w:rFonts w:hint="eastAsia" w:ascii="宋体" w:hAnsi="宋体" w:eastAsia="宋体" w:cs="宋体"/>
                <w:color w:val="auto"/>
                <w:sz w:val="21"/>
                <w:szCs w:val="21"/>
                <w:highlight w:val="none"/>
                <w:lang w:eastAsia="zh-CN"/>
              </w:rPr>
              <w:t>（</w:t>
            </w:r>
            <w:r>
              <w:rPr>
                <w:rFonts w:hint="eastAsia" w:ascii="宋体" w:hAnsi="宋体" w:eastAsia="宋体" w:cs="宋体"/>
                <w:b/>
                <w:bCs/>
                <w:color w:val="FF0000"/>
                <w:sz w:val="21"/>
                <w:szCs w:val="21"/>
                <w:lang w:eastAsia="zh-CN"/>
              </w:rPr>
              <w:t>提供现场系统功能演示，不接受ppt、录像等非系统功能演示形式</w:t>
            </w:r>
            <w:r>
              <w:rPr>
                <w:rFonts w:hint="eastAsia" w:ascii="宋体" w:hAnsi="宋体" w:eastAsia="宋体" w:cs="宋体"/>
                <w:color w:val="auto"/>
                <w:sz w:val="21"/>
                <w:szCs w:val="21"/>
                <w:highlight w:val="none"/>
                <w:lang w:eastAsia="zh-CN"/>
              </w:rPr>
              <w:t>）</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2、核对（脱水交接）后自动完成无纸化交接，记录相关核对人、脱水接收人等信息；同时也支持手动打印纸质交接单。</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3、对同一病例未脱水的蜡块进行自动标注提醒（需体现在全系统各站点取材列表信息中），例如脱钙未脱水的蜡块。</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4、支持按脱水篮批量上机脱水，也支持单个包埋盒添加上机脱水。记录上机历史记录。</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5、支持按脱水篮批量记录脱水失败原因，也支持单个包埋盒二次脱水并记录原因；支持记录二次脱水时间、操作员等信息，并列入质控。</w:t>
            </w:r>
          </w:p>
        </w:tc>
      </w:tr>
      <w:tr>
        <w:tblPrEx>
          <w:tblCellMar>
            <w:top w:w="0" w:type="dxa"/>
            <w:left w:w="108" w:type="dxa"/>
            <w:bottom w:w="0" w:type="dxa"/>
            <w:right w:w="108" w:type="dxa"/>
          </w:tblCellMar>
        </w:tblPrEx>
        <w:trPr>
          <w:trHeight w:val="1134" w:hRule="atLeast"/>
        </w:trPr>
        <w:tc>
          <w:tcPr>
            <w:tcW w:w="750" w:type="dxa"/>
            <w:vMerge w:val="continue"/>
            <w:tcBorders>
              <w:left w:val="single" w:color="000000" w:sz="4" w:space="0"/>
              <w:right w:val="single" w:color="auto" w:sz="4" w:space="0"/>
            </w:tcBorders>
            <w:vAlign w:val="center"/>
          </w:tcPr>
          <w:p>
            <w:pPr>
              <w:widowControl/>
              <w:spacing w:line="400" w:lineRule="exact"/>
              <w:jc w:val="center"/>
              <w:rPr>
                <w:rFonts w:ascii="宋体" w:hAnsi="宋体" w:eastAsia="宋体" w:cs="宋体"/>
                <w:color w:val="auto"/>
                <w:kern w:val="0"/>
                <w:szCs w:val="21"/>
                <w:highlight w:val="none"/>
              </w:rPr>
            </w:pPr>
          </w:p>
        </w:tc>
        <w:tc>
          <w:tcPr>
            <w:tcW w:w="905"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（五）常规技术中心</w:t>
            </w:r>
          </w:p>
        </w:tc>
        <w:tc>
          <w:tcPr>
            <w:tcW w:w="7041"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1、支持常规技术医嘱确认执行、退回操作，并注明退回原因，消息通知开单医生。</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★2、支持对技术组、诊断组发布任务，消息通知到相关医生，并支持数据中心显示。</w:t>
            </w:r>
            <w:r>
              <w:rPr>
                <w:rFonts w:hint="eastAsia" w:ascii="宋体" w:hAnsi="宋体" w:eastAsia="宋体" w:cs="宋体"/>
                <w:color w:val="auto"/>
                <w:sz w:val="21"/>
                <w:szCs w:val="21"/>
                <w:highlight w:val="none"/>
                <w:lang w:eastAsia="zh-CN"/>
              </w:rPr>
              <w:t>（</w:t>
            </w:r>
            <w:r>
              <w:rPr>
                <w:rFonts w:hint="eastAsia" w:ascii="宋体" w:hAnsi="宋体" w:eastAsia="宋体" w:cs="宋体"/>
                <w:b/>
                <w:bCs/>
                <w:color w:val="FF0000"/>
                <w:sz w:val="21"/>
                <w:szCs w:val="21"/>
                <w:lang w:eastAsia="zh-CN"/>
              </w:rPr>
              <w:t>提供现场系统功能演示，不接受ppt、录像等非系统功能演示形式</w:t>
            </w:r>
            <w:r>
              <w:rPr>
                <w:rFonts w:hint="eastAsia" w:ascii="宋体" w:hAnsi="宋体" w:eastAsia="宋体" w:cs="宋体"/>
                <w:color w:val="auto"/>
                <w:sz w:val="21"/>
                <w:szCs w:val="21"/>
                <w:highlight w:val="none"/>
                <w:lang w:eastAsia="zh-CN"/>
              </w:rPr>
              <w:t>）</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Cs w:val="21"/>
                <w:highlight w:val="none"/>
                <w:lang w:val="es-AR"/>
              </w:rPr>
              <w:t>▲</w:t>
            </w:r>
            <w:r>
              <w:rPr>
                <w:rFonts w:ascii="宋体" w:hAnsi="宋体" w:eastAsia="宋体" w:cs="宋体"/>
                <w:color w:val="auto"/>
                <w:sz w:val="21"/>
                <w:szCs w:val="21"/>
                <w:highlight w:val="none"/>
                <w:lang w:eastAsia="zh-CN"/>
              </w:rPr>
              <w:t>3、技术室数据中心实时展示未分配或未领取的待处理工作，如待包埋、待切片、待技术医嘱。（</w:t>
            </w:r>
            <w:r>
              <w:rPr>
                <w:rFonts w:ascii="宋体" w:hAnsi="宋体" w:eastAsia="宋体" w:cs="宋体"/>
                <w:b/>
                <w:bCs/>
                <w:color w:val="FF0000"/>
                <w:sz w:val="21"/>
                <w:szCs w:val="21"/>
                <w:highlight w:val="none"/>
                <w:lang w:eastAsia="zh-CN"/>
              </w:rPr>
              <w:t>提供系统截图，并加盖公章</w:t>
            </w:r>
            <w:r>
              <w:rPr>
                <w:rFonts w:ascii="宋体" w:hAnsi="宋体" w:eastAsia="宋体" w:cs="宋体"/>
                <w:color w:val="auto"/>
                <w:sz w:val="21"/>
                <w:szCs w:val="21"/>
                <w:highlight w:val="none"/>
                <w:lang w:eastAsia="zh-CN"/>
              </w:rPr>
              <w:t>）</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4、支持包括图像识别设备（高拍仪等）整框批量自动识别包埋盒、按脱水篮等多种批量方式分配或领取包埋和切片任务，支持蜡块识别失败提醒；也支持单个号码手动输入和扫码枪扫码识别。</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5、支持包括图像识别设备（高拍仪等）整框/整板自动识别在内的多种批量方式分配技术医嘱任务。</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6、支持包括图像识别设备（高拍仪等）整板自动识别切片、按标本所属系统分类等多种批量方式分配切片。</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7、支持按个人或按工作小组分配工作任务。</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8、未执行的任务支持撤销分配、重新分配。</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9、【蜡块归档】支持图像识别设备（高拍仪等）整框自动识别批量交接，也支持单个号码手动输入和扫码枪扫码识别归档；支持打印交接单。</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10、【蜡块归档】支持查询显示当日执行后未归档蜡块列表。</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11、【蜡块归档】支持技术医嘱、特检医嘱执行时自动更改归档状态，需重新归档。</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12、【大屏显示数据】支持医生在报告站开出的技术医嘱，数据中心进行实时提醒（语音播报、大屏显示）。</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13、【大屏显示数据】显示实时包埋、切片、医嘱工作量、执行情况、超时情况。</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14、【数字化切片】支持对接市场主流常见的数字切片扫描设备，支持自动识别病理标签匹配至病例下，支持诊断工作站报告界面一键打开浏览。</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15、【数字化切片】支持自动生成数字病理浏览二维码。</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(1)包埋工作站</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1、技术员登陆后自动显示已分配或领取的包埋任务列表。</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2、提醒特殊标本（小组织、活检组织、皮肤、粘膜等）的包埋注意事项。</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3、提供对应标本的取材描述，供包埋技术员查看。</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4、记录“无组织、组织极小”等各类取材异常情况，实时进行取材质控评价。</w:t>
            </w:r>
          </w:p>
          <w:p>
            <w:pPr>
              <w:pStyle w:val="14"/>
              <w:spacing w:line="360" w:lineRule="auto"/>
              <w:jc w:val="both"/>
              <w:rPr>
                <w:rFonts w:ascii="宋体" w:hAnsi="宋体" w:eastAsia="宋体" w:cs="宋体"/>
                <w:color w:val="auto"/>
                <w:sz w:val="21"/>
                <w:szCs w:val="21"/>
                <w:highlight w:val="none"/>
                <w:lang w:eastAsia="zh-CN"/>
              </w:rPr>
            </w:pPr>
            <w:r>
              <w:rPr>
                <w:rFonts w:ascii="宋体" w:hAnsi="宋体" w:eastAsia="宋体" w:cs="宋体"/>
                <w:color w:val="auto"/>
                <w:szCs w:val="21"/>
                <w:highlight w:val="none"/>
                <w:lang w:val="es-AR"/>
              </w:rPr>
              <w:t>▲</w:t>
            </w:r>
            <w:r>
              <w:rPr>
                <w:rFonts w:ascii="宋体" w:hAnsi="宋体" w:eastAsia="宋体" w:cs="宋体"/>
                <w:color w:val="auto"/>
                <w:sz w:val="21"/>
                <w:szCs w:val="21"/>
                <w:highlight w:val="none"/>
                <w:lang w:eastAsia="zh-CN"/>
              </w:rPr>
              <w:t>5、支持冷冻台图像识别设备（高拍仪）</w:t>
            </w:r>
            <w:r>
              <w:rPr>
                <w:rFonts w:hint="eastAsia" w:ascii="宋体" w:hAnsi="宋体" w:eastAsia="宋体" w:cs="宋体"/>
                <w:color w:val="auto"/>
                <w:sz w:val="21"/>
                <w:szCs w:val="21"/>
                <w:highlight w:val="none"/>
                <w:lang w:eastAsia="zh-CN"/>
              </w:rPr>
              <w:t>逐个或批量</w:t>
            </w:r>
            <w:r>
              <w:rPr>
                <w:rFonts w:ascii="宋体" w:hAnsi="宋体" w:eastAsia="宋体" w:cs="宋体"/>
                <w:color w:val="auto"/>
                <w:sz w:val="21"/>
                <w:szCs w:val="21"/>
                <w:highlight w:val="none"/>
                <w:lang w:eastAsia="zh-CN"/>
              </w:rPr>
              <w:t>识别</w:t>
            </w:r>
            <w:r>
              <w:rPr>
                <w:rFonts w:hint="eastAsia" w:ascii="宋体" w:hAnsi="宋体" w:eastAsia="宋体" w:cs="宋体"/>
                <w:color w:val="auto"/>
                <w:sz w:val="21"/>
                <w:szCs w:val="21"/>
                <w:highlight w:val="none"/>
                <w:lang w:eastAsia="zh-CN"/>
              </w:rPr>
              <w:t>正在冷却中的</w:t>
            </w:r>
            <w:r>
              <w:rPr>
                <w:rFonts w:ascii="宋体" w:hAnsi="宋体" w:eastAsia="宋体" w:cs="宋体"/>
                <w:color w:val="auto"/>
                <w:sz w:val="21"/>
                <w:szCs w:val="21"/>
                <w:highlight w:val="none"/>
                <w:lang w:eastAsia="zh-CN"/>
              </w:rPr>
              <w:t>包埋盒并完成包埋任务，支持识别失败提醒并重新识别。</w:t>
            </w:r>
            <w:r>
              <w:rPr>
                <w:rFonts w:hint="eastAsia" w:ascii="宋体" w:hAnsi="宋体" w:eastAsia="宋体" w:cs="宋体"/>
                <w:color w:val="auto"/>
                <w:sz w:val="21"/>
                <w:szCs w:val="21"/>
                <w:highlight w:val="none"/>
                <w:lang w:eastAsia="zh-CN"/>
              </w:rPr>
              <w:t>（</w:t>
            </w:r>
            <w:r>
              <w:rPr>
                <w:rFonts w:hint="eastAsia" w:ascii="宋体" w:hAnsi="宋体" w:eastAsia="宋体" w:cs="宋体"/>
                <w:b/>
                <w:bCs/>
                <w:color w:val="FF0000"/>
                <w:sz w:val="21"/>
                <w:szCs w:val="21"/>
                <w:lang w:eastAsia="zh-CN"/>
              </w:rPr>
              <w:t>提供现场系统功能演示，不接受ppt、录像等非系统功能演示形式</w:t>
            </w:r>
            <w:r>
              <w:rPr>
                <w:rFonts w:hint="eastAsia" w:ascii="宋体" w:hAnsi="宋体" w:eastAsia="宋体" w:cs="宋体"/>
                <w:color w:val="auto"/>
                <w:sz w:val="21"/>
                <w:szCs w:val="21"/>
                <w:highlight w:val="none"/>
                <w:lang w:eastAsia="zh-CN"/>
              </w:rPr>
              <w:t>）</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6、提供特殊情况下手动确认功能，支持批量处理。</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7、支持批量移交包埋任务。</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(2)切片工作站</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1、技术员登陆后自动加载已分配/领取切片任务列表。</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2、支持扫码枪扫描包埋盒自动打印玻片，支持自定义开启或关闭此功能。</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3、支持扫码枪连续扫描包埋盒、玻片自动核对，支持自定义开启或关闭此功能。</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4、支持切片过程中，实时对当前切片进行包埋、取材质控评价，填写质控原因。</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5、支持自动玻片打印或核对功能关闭时，图像识别设备（高拍仪等）整框批量自动实时识别包埋盒并完成切片任务，支持识别失败提醒。识别成功自动从工作列表中移除。</w:t>
            </w:r>
          </w:p>
        </w:tc>
      </w:tr>
      <w:tr>
        <w:tblPrEx>
          <w:tblCellMar>
            <w:top w:w="0" w:type="dxa"/>
            <w:left w:w="108" w:type="dxa"/>
            <w:bottom w:w="0" w:type="dxa"/>
            <w:right w:w="108" w:type="dxa"/>
          </w:tblCellMar>
        </w:tblPrEx>
        <w:trPr>
          <w:trHeight w:val="1134" w:hRule="atLeast"/>
        </w:trPr>
        <w:tc>
          <w:tcPr>
            <w:tcW w:w="750" w:type="dxa"/>
            <w:vMerge w:val="continue"/>
            <w:tcBorders>
              <w:left w:val="single" w:color="000000" w:sz="4" w:space="0"/>
              <w:right w:val="single" w:color="auto" w:sz="4" w:space="0"/>
            </w:tcBorders>
            <w:vAlign w:val="center"/>
          </w:tcPr>
          <w:p>
            <w:pPr>
              <w:widowControl/>
              <w:spacing w:line="400" w:lineRule="exact"/>
              <w:jc w:val="center"/>
              <w:rPr>
                <w:rFonts w:ascii="宋体" w:hAnsi="宋体" w:eastAsia="宋体" w:cs="宋体"/>
                <w:color w:val="auto"/>
                <w:kern w:val="0"/>
                <w:szCs w:val="21"/>
                <w:highlight w:val="none"/>
              </w:rPr>
            </w:pPr>
          </w:p>
        </w:tc>
        <w:tc>
          <w:tcPr>
            <w:tcW w:w="905"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（六）特检工作站</w:t>
            </w:r>
          </w:p>
          <w:p>
            <w:pPr>
              <w:pStyle w:val="14"/>
              <w:spacing w:line="360" w:lineRule="auto"/>
              <w:jc w:val="center"/>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（含特染、免疫、分子等）</w:t>
            </w:r>
          </w:p>
        </w:tc>
        <w:tc>
          <w:tcPr>
            <w:tcW w:w="7041"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1、支持对特检进行全流程管理，包括确认执行、退回、打印标签、上机、交接等，支持打印工作单、交接单。</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2、支持分类显示工作列表，优先显示已发布特检但尚未执行的病例信息列表。</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3、支持医嘱退回开单医生，并注明原因，退回后自动回到医师病例相关列表中；支持系统内消息提醒开单医生。</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4、可从医嘱信息中提取病例信息、标记物名称等内容，自动生成免疫组化切片等切片条码标签信息。</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5、支持标记物标签打印多种输出模板，自定义模板、免疫组化仪专用标签模板。</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6、支持和科室现有免疫组化仪及目前市面主流免疫组化仪对接，自动生成免疫组化仪专用标签。</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7、支持根据抗体数量自动减扣试剂容量，预测库存余量，支持库存报警。</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8、支持显示蜡块归档信息。</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9、特检制片结束支持图像识别设备（高拍仪等）整板批量交接，支持根据开单医生自动判定交接人，同时也支持修改交接人。</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10、支持多条件分类统计特检工作量、标记物数量。如按标记物名称统计、按特染或组化统计、按时间统计等，形成柱状图表。</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lang w:val="en-US" w:eastAsia="zh-CN"/>
              </w:rPr>
              <w:t>1</w:t>
            </w:r>
            <w:r>
              <w:rPr>
                <w:rFonts w:ascii="宋体" w:hAnsi="宋体" w:eastAsia="宋体" w:cs="宋体"/>
                <w:color w:val="auto"/>
                <w:sz w:val="21"/>
                <w:szCs w:val="21"/>
                <w:highlight w:val="none"/>
                <w:lang w:eastAsia="zh-CN"/>
              </w:rPr>
              <w:t>、支持先做后补费标注，未收费前系统限制报告发布。</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lang w:val="en-US" w:eastAsia="zh-CN"/>
              </w:rPr>
              <w:t>2</w:t>
            </w:r>
            <w:r>
              <w:rPr>
                <w:rFonts w:ascii="宋体" w:hAnsi="宋体" w:eastAsia="宋体" w:cs="宋体"/>
                <w:color w:val="auto"/>
                <w:sz w:val="21"/>
                <w:szCs w:val="21"/>
                <w:highlight w:val="none"/>
                <w:lang w:eastAsia="zh-CN"/>
              </w:rPr>
              <w:t>、支持根据标记物标价、数量信息统计应收金额。统计模块支持按时间统计相关内容的毛收入。</w:t>
            </w:r>
          </w:p>
        </w:tc>
      </w:tr>
      <w:tr>
        <w:tblPrEx>
          <w:tblCellMar>
            <w:top w:w="0" w:type="dxa"/>
            <w:left w:w="108" w:type="dxa"/>
            <w:bottom w:w="0" w:type="dxa"/>
            <w:right w:w="108" w:type="dxa"/>
          </w:tblCellMar>
        </w:tblPrEx>
        <w:trPr>
          <w:trHeight w:val="1142" w:hRule="atLeast"/>
        </w:trPr>
        <w:tc>
          <w:tcPr>
            <w:tcW w:w="750" w:type="dxa"/>
            <w:vMerge w:val="continue"/>
            <w:tcBorders>
              <w:left w:val="single" w:color="000000" w:sz="4" w:space="0"/>
              <w:right w:val="single" w:color="auto" w:sz="4" w:space="0"/>
            </w:tcBorders>
            <w:vAlign w:val="center"/>
          </w:tcPr>
          <w:p>
            <w:pPr>
              <w:widowControl/>
              <w:spacing w:line="400" w:lineRule="exact"/>
              <w:jc w:val="center"/>
              <w:rPr>
                <w:rFonts w:ascii="宋体" w:hAnsi="宋体" w:eastAsia="宋体" w:cs="宋体"/>
                <w:color w:val="auto"/>
                <w:kern w:val="0"/>
                <w:szCs w:val="21"/>
                <w:highlight w:val="none"/>
              </w:rPr>
            </w:pPr>
          </w:p>
        </w:tc>
        <w:tc>
          <w:tcPr>
            <w:tcW w:w="905" w:type="dxa"/>
            <w:tcBorders>
              <w:top w:val="single" w:color="000000" w:sz="4" w:space="0"/>
              <w:left w:val="single" w:color="000000" w:sz="4" w:space="0"/>
              <w:bottom w:val="single" w:color="000000" w:sz="4" w:space="0"/>
              <w:right w:val="single" w:color="000000" w:sz="4" w:space="0"/>
            </w:tcBorders>
            <w:vAlign w:val="center"/>
          </w:tcPr>
          <w:p>
            <w:pPr>
              <w:pStyle w:val="14"/>
              <w:jc w:val="center"/>
              <w:rPr>
                <w:rFonts w:hint="default" w:ascii="宋体" w:hAnsi="宋体" w:eastAsia="宋体" w:cs="宋体"/>
                <w:color w:val="auto"/>
                <w:sz w:val="18"/>
                <w:szCs w:val="18"/>
                <w:highlight w:val="none"/>
                <w:lang w:eastAsia="zh-CN"/>
              </w:rPr>
            </w:pPr>
            <w:r>
              <w:rPr>
                <w:rFonts w:ascii="宋体" w:hAnsi="宋体" w:eastAsia="宋体" w:cs="宋体"/>
                <w:color w:val="auto"/>
                <w:sz w:val="18"/>
                <w:szCs w:val="18"/>
                <w:highlight w:val="none"/>
                <w:lang w:eastAsia="zh-CN"/>
              </w:rPr>
              <w:t>（七）</w:t>
            </w:r>
          </w:p>
          <w:p>
            <w:pPr>
              <w:pStyle w:val="14"/>
              <w:jc w:val="center"/>
              <w:rPr>
                <w:rFonts w:hint="default" w:ascii="宋体" w:hAnsi="宋体" w:eastAsia="宋体" w:cs="宋体"/>
                <w:color w:val="auto"/>
                <w:sz w:val="11"/>
                <w:szCs w:val="11"/>
                <w:highlight w:val="none"/>
                <w:lang w:eastAsia="zh-CN"/>
              </w:rPr>
            </w:pPr>
            <w:r>
              <w:rPr>
                <w:rFonts w:ascii="宋体" w:hAnsi="宋体" w:eastAsia="宋体" w:cs="宋体"/>
                <w:color w:val="auto"/>
                <w:sz w:val="18"/>
                <w:szCs w:val="18"/>
                <w:highlight w:val="none"/>
                <w:lang w:eastAsia="zh-CN"/>
              </w:rPr>
              <w:t>分子病理报告工作站</w:t>
            </w:r>
          </w:p>
        </w:tc>
        <w:tc>
          <w:tcPr>
            <w:tcW w:w="7041"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1、支持对接分子检测设备，实现数据回传并绑定病理号。</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2、支持自定义分子诊断模板编辑，用户可根据需求自定义分子病理诊断报告模板。</w:t>
            </w:r>
          </w:p>
        </w:tc>
      </w:tr>
      <w:tr>
        <w:tblPrEx>
          <w:tblCellMar>
            <w:top w:w="0" w:type="dxa"/>
            <w:left w:w="108" w:type="dxa"/>
            <w:bottom w:w="0" w:type="dxa"/>
            <w:right w:w="108" w:type="dxa"/>
          </w:tblCellMar>
        </w:tblPrEx>
        <w:trPr>
          <w:trHeight w:val="406" w:hRule="atLeast"/>
        </w:trPr>
        <w:tc>
          <w:tcPr>
            <w:tcW w:w="750" w:type="dxa"/>
            <w:vMerge w:val="continue"/>
            <w:tcBorders>
              <w:left w:val="single" w:color="000000" w:sz="4" w:space="0"/>
              <w:right w:val="single" w:color="auto" w:sz="4" w:space="0"/>
            </w:tcBorders>
            <w:vAlign w:val="center"/>
          </w:tcPr>
          <w:p>
            <w:pPr>
              <w:widowControl/>
              <w:spacing w:line="400" w:lineRule="exact"/>
              <w:jc w:val="center"/>
              <w:rPr>
                <w:rFonts w:ascii="宋体" w:hAnsi="宋体" w:eastAsia="宋体" w:cs="宋体"/>
                <w:color w:val="auto"/>
                <w:kern w:val="0"/>
                <w:szCs w:val="21"/>
                <w:highlight w:val="none"/>
              </w:rPr>
            </w:pPr>
          </w:p>
        </w:tc>
        <w:tc>
          <w:tcPr>
            <w:tcW w:w="905"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center"/>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（八）诊断工作站</w:t>
            </w:r>
          </w:p>
        </w:tc>
        <w:tc>
          <w:tcPr>
            <w:tcW w:w="7041"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(1)主界面</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1、可根据个人设定按全库或细分病理库展示诊断列表。</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2、优先显示加急、即将超时、超时、延迟病例等特殊标注的病例。</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3、退出工作站前提示未报告（终审）的病例数量，并询问是否前往处理。</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4、【归档】支持查询本人已报告、未归档切片明细，并支持一键批量借阅。</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(2)报告界面</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1)常规书写</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1、【信息】支持查看最近打开病例，可快速跳转到之前打开过的诊断界面，可在几个诊断界面之间进行快速切换。</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2、【信息】可在诊断界面查看病例的基本信息、临床资料；支持对接院内影像、检验、门诊/住院病历系统，调阅相关图文信息。</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3、【信息】支持直接查看大体标本的照片和描述、取材的明细记录等内容。</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4、【信息】支持诊断界面直接查看切片、蜡块、医嘱、特检实时状态。包括但不限于切片制片状态、切片是否外借会诊、剩余标本存放位置及是否处理、切片和蜡块的仓库存储位置等。</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5、【信息】支持默认根据身份证号匹配历史病理，也支持自定义按照姓名、ID号、住院号或/和手机号等信息匹配历史病理。</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6、【信息】支持自动识别住院患者在院情况，特别是提醒出院医嘱及时间。支持关联患者费用类别。</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7、【转诊】支持多级诊疗制度，初诊医生支持自动定向转诊上级医生；支持同级转交；支持转诊撤回、退回；支持单个、批量转诊、转交。</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8、【诊断】支持自动调用下级医生诊断结果。</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Cs w:val="21"/>
                <w:highlight w:val="none"/>
                <w:lang w:val="es-AR"/>
              </w:rPr>
              <w:t>▲</w:t>
            </w:r>
            <w:r>
              <w:rPr>
                <w:rFonts w:ascii="宋体" w:hAnsi="宋体" w:eastAsia="宋体" w:cs="宋体"/>
                <w:color w:val="auto"/>
                <w:sz w:val="21"/>
                <w:szCs w:val="21"/>
                <w:highlight w:val="none"/>
                <w:lang w:eastAsia="zh-CN"/>
              </w:rPr>
              <w:t>9、【诊断】支持结构化报告，支持自定义新增、修改结构化报告模板；支持所见即所得的修改方式。（</w:t>
            </w:r>
            <w:r>
              <w:rPr>
                <w:rFonts w:ascii="宋体" w:hAnsi="宋体" w:eastAsia="宋体" w:cs="宋体"/>
                <w:b/>
                <w:bCs/>
                <w:color w:val="FF0000"/>
                <w:sz w:val="21"/>
                <w:szCs w:val="21"/>
                <w:highlight w:val="none"/>
                <w:lang w:eastAsia="zh-CN"/>
              </w:rPr>
              <w:t>提供系统截图，并加盖公章</w:t>
            </w:r>
            <w:r>
              <w:rPr>
                <w:rFonts w:ascii="宋体" w:hAnsi="宋体" w:eastAsia="宋体" w:cs="宋体"/>
                <w:color w:val="auto"/>
                <w:sz w:val="21"/>
                <w:szCs w:val="21"/>
                <w:highlight w:val="none"/>
                <w:lang w:eastAsia="zh-CN"/>
              </w:rPr>
              <w:t>）</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10、【诊断】支持根据肿瘤系统分类自动展开词库模板列表，并支持手动展开其他系统词库，快捷录入至诊断框。</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11、【诊断】系统提供最新疾病诊断规范、专家共识数据库，在诊断界面可进行分系统、或按疾病名称进行查询，并可一键调阅，支持用户自行内容维护。支持文档、图片、视频类型数据。</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12、【诊断】支持系统内存储数字病理切片，并支持报告内打开对应的数字病理切片；数字病理切片格式全兼容性。兼容麦克奥迪、江丰、优纳、徕卡、罗氏、滨松（日本）、3DHISTECH（匈牙利）、飞利浦、帝麦克斯、蔡司等主流厂商设备格式。</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13、【诊断】延迟诊断，可对病例进行延迟诊断，并标明延迟原因发布至HIS。支持延迟统计。</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14、【诊断】支持批量签发报告。</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15、【采图】支持对接windows免驱相机，在书写报告时可同时浏览、采集和保存镜下图像，切换病例操作简便，无需反复开关采集界面。</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16、【采图】不能对接的数码摄像头支持文件夹监控式图像采集；支持在书写报告时同时采图，切换病例简便，无需反复开关采集界面。</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2)会诊</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1、【转诊】支持亚专科转诊。支持按接诊亚专科统计工作量；支持按提交亚专科统计工作量。</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2、【科内会诊】可发起科内会诊申请，系统会自动加入“科内会诊”列表并进行提示，其他医生登录系统后可以快速定位这些会诊病例，可增加、修改、删除自己的科内会诊意见。</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3、【科内会诊】支持全科会诊，也支持指定专家会诊。</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4、【科内会诊】会诊意见专家之间相互不可见，待会诊意见提交后，会诊意见才对最终审核者可见。</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5、【科内会诊】最终审核者参考各专家意见发布审核报告后，各专家意见会诊意见不支持撤回或修改。</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6、【科内会诊】支持打印专家会诊意见汇总表。</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7、【科内会诊】支持按接诊科内会诊统计工作量，支持按提交科内会诊统计工作量。</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3)质控</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Cs w:val="21"/>
                <w:highlight w:val="none"/>
                <w:lang w:val="es-AR"/>
              </w:rPr>
              <w:t>▲</w:t>
            </w:r>
            <w:r>
              <w:rPr>
                <w:rFonts w:ascii="宋体" w:hAnsi="宋体" w:eastAsia="宋体" w:cs="宋体"/>
                <w:color w:val="auto"/>
                <w:sz w:val="21"/>
                <w:szCs w:val="21"/>
                <w:highlight w:val="none"/>
                <w:lang w:eastAsia="zh-CN"/>
              </w:rPr>
              <w:t>1、【质控常规】常规切片和免疫组化切片支持评优制和按照国家质控标准打分制两种模式，其中打分制支持单张切片评分或多个切片批量评级，并支持后续质控统计。（</w:t>
            </w:r>
            <w:r>
              <w:rPr>
                <w:rFonts w:ascii="宋体" w:hAnsi="宋体" w:eastAsia="宋体" w:cs="宋体"/>
                <w:b/>
                <w:bCs/>
                <w:color w:val="FF0000"/>
                <w:sz w:val="21"/>
                <w:szCs w:val="21"/>
                <w:highlight w:val="none"/>
                <w:lang w:eastAsia="zh-CN"/>
              </w:rPr>
              <w:t>提供系统截图，并加盖公章</w:t>
            </w:r>
            <w:r>
              <w:rPr>
                <w:rFonts w:ascii="宋体" w:hAnsi="宋体" w:eastAsia="宋体" w:cs="宋体"/>
                <w:color w:val="auto"/>
                <w:sz w:val="21"/>
                <w:szCs w:val="21"/>
                <w:highlight w:val="none"/>
                <w:lang w:eastAsia="zh-CN"/>
              </w:rPr>
              <w:t>）</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2、【质控痕迹】支持报告界面查看本病例的所有操作记录。</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3、【质控冰冻】常规病理有做冰冻检查的，诊断界面提示需质控评价。符合、基本符合、不符合，质控模块能对符合率作出统计。</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4、【质控细胞】细胞病理，可对细胞学诊断进行阳性标记，质控模块能对阳性率作出统计。</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5、【质控细胞】常规病理或特检病理近期有细胞学检查并且阳性时诊断界面提示需质控评价。符合、基本符合、不符合，质控模块能对符合率作出统计。</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6、【危急值】支持危急值标记，提供完整的危机值详细信息登记页面，支持打印；并支持统计导出。</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7、【临床病理沟通】支持临床病理沟通登记，提供完整的临床病理沟通详细信息登记页面，支持打印；并支持统计导出。</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8、【随访】可对病例进行随访标记，系统会自动加入“需随访病例”列表并按设定频率或制定日期进行随访提示，可录入并保存随访结果，并可继续随访或结束随访。</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9、【收藏】可对感兴趣的病例进行收藏管理，系统会自动加入到“我的收藏夹”列表并进行提示，收藏夹支持自定义收藏分类管理，医生可以导出自己的收藏夹病例列表。</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4)医嘱</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1、【医嘱】可发出内部医嘱要求，包括重切、深切、补取、免疫组化、分子病理等，支持医嘱保存和发布。</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2、【医嘱】发布的内部医嘱在相应的操作员操作界面或技术中心大屏上有相应提示，特检医嘱的结果应支持快捷导入诊断意见。</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3、【医嘱】支持按套餐开具免疫组化医嘱，选择套餐后支持添加、删减标记物。</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4、【医嘱】按非套餐免疫组化下医嘱时，需提供便捷的免疫组化标记物选择方案，如首字母模糊查询、联想查询等方式。</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5、【医嘱】免疫组化染色完成并交接后，体现接收人（初诊）、交接时间等信息。</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5)报告发布</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Cs w:val="21"/>
                <w:highlight w:val="none"/>
                <w:lang w:val="es-AR"/>
              </w:rPr>
              <w:t>▲</w:t>
            </w:r>
            <w:r>
              <w:rPr>
                <w:rFonts w:ascii="宋体" w:hAnsi="宋体" w:eastAsia="宋体" w:cs="宋体"/>
                <w:color w:val="auto"/>
                <w:sz w:val="21"/>
                <w:szCs w:val="21"/>
                <w:highlight w:val="none"/>
                <w:lang w:eastAsia="zh-CN"/>
              </w:rPr>
              <w:t>1、提供病理报告审核后的“犹豫期”自定义设定，并可支持病理分类决定是否设定犹豫期，如冰冻病理不设犹豫期。（</w:t>
            </w:r>
            <w:r>
              <w:rPr>
                <w:rFonts w:ascii="宋体" w:hAnsi="宋体" w:eastAsia="宋体" w:cs="宋体"/>
                <w:b/>
                <w:bCs/>
                <w:color w:val="FF0000"/>
                <w:sz w:val="21"/>
                <w:szCs w:val="21"/>
                <w:highlight w:val="none"/>
                <w:lang w:eastAsia="zh-CN"/>
              </w:rPr>
              <w:t>提供系统截图，并加盖公章</w:t>
            </w:r>
            <w:r>
              <w:rPr>
                <w:rFonts w:ascii="宋体" w:hAnsi="宋体" w:eastAsia="宋体" w:cs="宋体"/>
                <w:color w:val="auto"/>
                <w:sz w:val="21"/>
                <w:szCs w:val="21"/>
                <w:highlight w:val="none"/>
                <w:lang w:eastAsia="zh-CN"/>
              </w:rPr>
              <w:t>）</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2、支持紧急审核，跳过犹豫期。</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3、我支持报告撤回、注明撤回原因功能，并支持根据临床是否打印报告限制撤回。</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4、支持限制撤回时需向指定角色发起撤回审批流程。</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5、支持按人员撤回数量、撤回原因进行统计。</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6、提供补充报告功能，并可以添加多份补充报告，多份补充报告应展示最新一份补充报告的状态。</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7、支持多种报告格式预览打印，并在打印发布后，记录使用的模板，固定最终的PDF报告。提供补打报告功能，并自动选择最后一次PDF报告进行打印。支持自动存储备份已打印的PDF报告文件，并支持二次报告及备份功能。</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8、支持对接自助打印机打印报告，支持CA电子签名，支持临床送检工作站打印报告并限制打印次数。</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6)其他</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1、【后台】支持自定义修改报告模板，并支持所见即所得的修改方式。</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2、【数字化切片】支持一键发布数字切片二维码至远程病理平台。</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3、【数字化切片】支持报告中显示数字切片二维码。</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4、【数字化切片】支持设置数字切片二维码失效时间。</w:t>
            </w:r>
          </w:p>
        </w:tc>
      </w:tr>
      <w:tr>
        <w:tblPrEx>
          <w:tblCellMar>
            <w:top w:w="0" w:type="dxa"/>
            <w:left w:w="108" w:type="dxa"/>
            <w:bottom w:w="0" w:type="dxa"/>
            <w:right w:w="108" w:type="dxa"/>
          </w:tblCellMar>
        </w:tblPrEx>
        <w:trPr>
          <w:trHeight w:val="411" w:hRule="atLeast"/>
        </w:trPr>
        <w:tc>
          <w:tcPr>
            <w:tcW w:w="750" w:type="dxa"/>
            <w:vMerge w:val="continue"/>
            <w:tcBorders>
              <w:left w:val="single" w:color="000000" w:sz="4" w:space="0"/>
              <w:bottom w:val="single" w:color="000000" w:sz="4" w:space="0"/>
              <w:right w:val="single" w:color="auto" w:sz="4" w:space="0"/>
            </w:tcBorders>
            <w:vAlign w:val="center"/>
          </w:tcPr>
          <w:p>
            <w:pPr>
              <w:widowControl/>
              <w:spacing w:line="400" w:lineRule="exact"/>
              <w:jc w:val="center"/>
              <w:rPr>
                <w:rFonts w:ascii="宋体" w:hAnsi="宋体" w:eastAsia="宋体" w:cs="宋体"/>
                <w:color w:val="auto"/>
                <w:kern w:val="0"/>
                <w:szCs w:val="21"/>
                <w:highlight w:val="none"/>
              </w:rPr>
            </w:pPr>
          </w:p>
        </w:tc>
        <w:tc>
          <w:tcPr>
            <w:tcW w:w="905"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center"/>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（九）前台/窗口工作站</w:t>
            </w:r>
          </w:p>
        </w:tc>
        <w:tc>
          <w:tcPr>
            <w:tcW w:w="7041"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(1)前台</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1、可查阅本站所有病例信息。</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2、支持秘书账号，针对所有未审核病例录入结果。</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3、支持发布任务，消息通知到相关医生，并支持数据中心显示。</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4、支持一键短信给患者发布通知，并支持短信内容词库维护。</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(2)标本接收、登记工作</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功能同（二）标本接收、登记工作站</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(3)借片、还片功能</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1、支持借还管理，并将状态在病例列表中体现。</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2、支持借片押金统计，并支持还片自动退费。</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3、支持根据是否切白片、身份类别不同打印不同格式的借片申请单。</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4、支持切白片自动下医嘱。</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5、支持借片成功后自动通知相关各级医师（初诊、复诊、终审），相关医师可一键打开相关病例信息。</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6、借/还片支持图像采集（借片申请、身份证明、会诊结果的采集），采集信息支持浏览。</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7、还片支持符合率质控，符合、基本符合、不符合。</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8、还片成功支持一键通知相关各级医师。相关医师可一键打开会诊结果。</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9、支持网页/微信公众号预约借片功能，根据预约信息打印纸质借片单。（具体根据医院需求及实施条件响应，</w:t>
            </w:r>
            <w:r>
              <w:rPr>
                <w:rFonts w:hint="eastAsia" w:ascii="宋体" w:hAnsi="宋体" w:eastAsia="宋体" w:cs="宋体"/>
                <w:color w:val="auto"/>
                <w:sz w:val="21"/>
                <w:szCs w:val="21"/>
                <w:highlight w:val="none"/>
                <w:lang w:val="en-US" w:eastAsia="zh-CN"/>
              </w:rPr>
              <w:t>需提供书面承诺函，不</w:t>
            </w:r>
            <w:r>
              <w:rPr>
                <w:rFonts w:ascii="宋体" w:hAnsi="宋体" w:eastAsia="宋体" w:cs="宋体"/>
                <w:color w:val="auto"/>
                <w:sz w:val="21"/>
                <w:szCs w:val="21"/>
                <w:highlight w:val="none"/>
                <w:lang w:eastAsia="zh-CN"/>
              </w:rPr>
              <w:t>额外收取费用）</w:t>
            </w:r>
          </w:p>
        </w:tc>
      </w:tr>
      <w:tr>
        <w:tblPrEx>
          <w:tblCellMar>
            <w:top w:w="0" w:type="dxa"/>
            <w:left w:w="108" w:type="dxa"/>
            <w:bottom w:w="0" w:type="dxa"/>
            <w:right w:w="108" w:type="dxa"/>
          </w:tblCellMar>
        </w:tblPrEx>
        <w:trPr>
          <w:trHeight w:val="1134" w:hRule="atLeast"/>
        </w:trPr>
        <w:tc>
          <w:tcPr>
            <w:tcW w:w="750" w:type="dxa"/>
            <w:tcBorders>
              <w:top w:val="single" w:color="000000" w:sz="4" w:space="0"/>
              <w:left w:val="single" w:color="000000" w:sz="4" w:space="0"/>
              <w:bottom w:val="single" w:color="000000" w:sz="4" w:space="0"/>
              <w:right w:val="single" w:color="auto" w:sz="4" w:space="0"/>
            </w:tcBorders>
            <w:vAlign w:val="center"/>
          </w:tcPr>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Cs w:val="21"/>
                <w:highlight w:val="none"/>
                <w:lang w:eastAsia="zh-CN"/>
              </w:rPr>
            </w:pPr>
            <w:r>
              <w:rPr>
                <w:rFonts w:ascii="宋体" w:hAnsi="宋体" w:eastAsia="宋体" w:cs="宋体"/>
                <w:color w:val="auto"/>
                <w:sz w:val="21"/>
                <w:szCs w:val="21"/>
                <w:highlight w:val="none"/>
                <w:lang w:eastAsia="zh-CN"/>
              </w:rPr>
              <w:t>二、质控管理模块</w:t>
            </w:r>
          </w:p>
        </w:tc>
        <w:tc>
          <w:tcPr>
            <w:tcW w:w="905"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center"/>
              <w:rPr>
                <w:rFonts w:hint="default" w:ascii="宋体" w:hAnsi="宋体" w:eastAsia="宋体" w:cs="宋体"/>
                <w:color w:val="auto"/>
                <w:sz w:val="21"/>
                <w:szCs w:val="21"/>
                <w:highlight w:val="none"/>
                <w:lang w:eastAsia="zh-CN"/>
              </w:rPr>
            </w:pPr>
          </w:p>
        </w:tc>
        <w:tc>
          <w:tcPr>
            <w:tcW w:w="7041"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1、支持所有国家质控中心推荐的质控项目。</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2、具有工作量统计、诊断符合率、时间质控、质量评价质控项目。</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3、全流程有完善的操作痕迹记录，记录账号登陆IP、MAC地址，以供溯源查询。</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4、【查询】模糊查询，可根据数据库中所有录入字段，进行多条件复合查询，如送检标本包含“胃”并且病理诊断包含“癌”并且病理诊断不包含“炎症”来查询单纯的胃癌。</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5、【查询】支持查询权限设置，支持设置账号的查询时长权限设置。3个月、半年、1年、3年，长期。支持限定导出权限。</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6、【会诊】支持统计会诊符合率。</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7、【会诊】支持导出会诊与原病理对照表。</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8、【会诊】支持导出不符合病例与原病理的结果对照表。</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9、【冰冻】支持统计冰冻病理及时率、符合率。</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10、【冰冻】支持导出冰冻超时病例。</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11、【冰冻】支持查询并导出冰冻病理、常规病理、特检病理结果对比表。</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12、【冰冻】支持导出冰冻病理不符、基本符合的病例与原病理的结果对照表。</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13、【冰冻】支持统计计算医生、技师及时病例数。</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14、【细胞】支持统计计算医生发现阳性病例数。</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15、【细胞】支持统计计算医生诊断及时病例数，自动过滤节假日。</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16、【工作量】支持按患者身份类别统计工作量。</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17、【工作量】支持全科按分类统计工作量。</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18、【工作量】支持按病例数、蜡块数分别统计医师、技师工作量。</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19、【工作量】支持统计取材、包埋、切片工作量。</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20、【危急值】支持危急值原因分类、科室分类、报告人等多条件统计查询。</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21、【临床病理沟通】支持按沟通原因、沟通人等多条件统计查询。</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22、【特检】支持分类统计、按标记物统计医生医嘱开单情况。</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23、【特检】支持分类统计、按标记物统计技术员的工作量。</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24、【特检】支持分类统计特检按标记物的使用量。</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25、【特检】支持统计技术员常规医嘱的工作量。</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26、支持根据科室不同阶段的需求，提供定制更多质控服务。</w:t>
            </w:r>
          </w:p>
        </w:tc>
      </w:tr>
      <w:tr>
        <w:tblPrEx>
          <w:tblCellMar>
            <w:top w:w="0" w:type="dxa"/>
            <w:left w:w="108" w:type="dxa"/>
            <w:bottom w:w="0" w:type="dxa"/>
            <w:right w:w="108" w:type="dxa"/>
          </w:tblCellMar>
        </w:tblPrEx>
        <w:trPr>
          <w:trHeight w:val="1134" w:hRule="atLeast"/>
        </w:trPr>
        <w:tc>
          <w:tcPr>
            <w:tcW w:w="750" w:type="dxa"/>
            <w:tcBorders>
              <w:top w:val="single" w:color="000000" w:sz="4" w:space="0"/>
              <w:left w:val="single" w:color="000000" w:sz="4" w:space="0"/>
              <w:bottom w:val="single" w:color="000000" w:sz="4" w:space="0"/>
              <w:right w:val="single" w:color="auto" w:sz="4" w:space="0"/>
            </w:tcBorders>
            <w:vAlign w:val="center"/>
          </w:tcPr>
          <w:p>
            <w:pPr>
              <w:pStyle w:val="14"/>
              <w:spacing w:line="360" w:lineRule="auto"/>
              <w:jc w:val="center"/>
              <w:rPr>
                <w:rFonts w:hint="default" w:ascii="宋体" w:hAnsi="宋体" w:eastAsia="宋体" w:cs="宋体"/>
                <w:color w:val="auto"/>
                <w:szCs w:val="21"/>
                <w:highlight w:val="none"/>
                <w:lang w:eastAsia="zh-CN"/>
              </w:rPr>
            </w:pPr>
            <w:r>
              <w:rPr>
                <w:rFonts w:ascii="宋体" w:hAnsi="宋体" w:eastAsia="宋体" w:cs="宋体"/>
                <w:color w:val="auto"/>
                <w:sz w:val="21"/>
                <w:szCs w:val="21"/>
                <w:highlight w:val="none"/>
                <w:lang w:eastAsia="zh-CN"/>
              </w:rPr>
              <w:t>三、物料及设备管理模块</w:t>
            </w:r>
          </w:p>
        </w:tc>
        <w:tc>
          <w:tcPr>
            <w:tcW w:w="905"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center"/>
              <w:rPr>
                <w:rFonts w:hint="default" w:ascii="宋体" w:hAnsi="宋体" w:eastAsia="宋体" w:cs="宋体"/>
                <w:color w:val="auto"/>
                <w:sz w:val="21"/>
                <w:szCs w:val="21"/>
                <w:highlight w:val="none"/>
                <w:lang w:eastAsia="zh-CN"/>
              </w:rPr>
            </w:pPr>
          </w:p>
        </w:tc>
        <w:tc>
          <w:tcPr>
            <w:tcW w:w="7041"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1、【物料】支持对接医院物资智能管理系统，并支持二级库管理功能。</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2、【物料】支持物料分类登记，物料信息包括但不限于名称、简写、规格、采购价格、批号、有效期、生产厂家、供应商、简介，毒麻药品保管责任人。</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3、【物料】支持根据科室工作量自动减扣相应物料，预判库存余量，支持设置余量报警。</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4、【物料】支持物料分类设置管理人员，余量报警通知到相应的负责人。</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5、【物料】在系统中，支持相关页面点击物料名称展开物料图文详情介绍。例如：开具免疫组化医嘱时，可以点击抗体名称，展示具体的图文介绍。</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6、【设备】支持对接医院设备管理系统，支持分类登记、查询。</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7、【设备】自动识别智能设备或绑定电脑的设备工作状态并上传设备使用记录。</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8、【设备】支持使用记录报表导出。</w:t>
            </w:r>
          </w:p>
        </w:tc>
      </w:tr>
      <w:tr>
        <w:tblPrEx>
          <w:tblCellMar>
            <w:top w:w="0" w:type="dxa"/>
            <w:left w:w="108" w:type="dxa"/>
            <w:bottom w:w="0" w:type="dxa"/>
            <w:right w:w="108" w:type="dxa"/>
          </w:tblCellMar>
        </w:tblPrEx>
        <w:trPr>
          <w:trHeight w:val="1134" w:hRule="atLeast"/>
        </w:trPr>
        <w:tc>
          <w:tcPr>
            <w:tcW w:w="750" w:type="dxa"/>
            <w:tcBorders>
              <w:top w:val="single" w:color="000000" w:sz="4" w:space="0"/>
              <w:left w:val="single" w:color="000000" w:sz="4" w:space="0"/>
              <w:bottom w:val="single" w:color="000000" w:sz="4" w:space="0"/>
              <w:right w:val="single" w:color="auto" w:sz="4" w:space="0"/>
            </w:tcBorders>
            <w:vAlign w:val="center"/>
          </w:tcPr>
          <w:p>
            <w:pPr>
              <w:pStyle w:val="14"/>
              <w:spacing w:line="360" w:lineRule="auto"/>
              <w:jc w:val="center"/>
              <w:rPr>
                <w:rFonts w:hint="default" w:ascii="宋体" w:hAnsi="宋体" w:eastAsia="宋体" w:cs="宋体"/>
                <w:color w:val="auto"/>
                <w:szCs w:val="21"/>
                <w:highlight w:val="none"/>
                <w:lang w:eastAsia="zh-CN"/>
              </w:rPr>
            </w:pPr>
            <w:r>
              <w:rPr>
                <w:rFonts w:ascii="宋体" w:hAnsi="宋体" w:eastAsia="宋体" w:cs="宋体"/>
                <w:color w:val="auto"/>
                <w:sz w:val="21"/>
                <w:szCs w:val="21"/>
                <w:highlight w:val="none"/>
                <w:lang w:eastAsia="zh-CN"/>
              </w:rPr>
              <w:t>四、存档管理模块</w:t>
            </w:r>
          </w:p>
        </w:tc>
        <w:tc>
          <w:tcPr>
            <w:tcW w:w="905"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center"/>
              <w:rPr>
                <w:rFonts w:hint="default" w:ascii="宋体" w:hAnsi="宋体" w:eastAsia="宋体" w:cs="宋体"/>
                <w:color w:val="auto"/>
                <w:sz w:val="21"/>
                <w:szCs w:val="21"/>
                <w:highlight w:val="none"/>
                <w:lang w:eastAsia="zh-CN"/>
              </w:rPr>
            </w:pPr>
          </w:p>
        </w:tc>
        <w:tc>
          <w:tcPr>
            <w:tcW w:w="7041"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1、提供层级式的归档柜管理功能，分区域、柜子、层级、抽屉等，支持新建、修改、删除；</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2、支持资料批量搬家。</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3、按未归档、已归档直观显示归档病例数据。</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4、支持高拍仪等设备整框/整板批量归档切片、蜡块；也支持扫码枪扫码归档；也支持手工批量归档。</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5、运营中心自动显示未归档信息、借阅申请信息等，支持未归档超时时长排序。</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6、支持高拍仪等设备整板批量扫码借阅切片、蜡块。</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7、支持按医嘱打印借阅单。支持多条医嘱合并打印。</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8、支持信息与借还片功能联动，自动更新切片、蜡块的在库情况。</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9、支持同步调阅信息至所有切片、蜡块列表，例如诊断报告界面，查看切片列表时可显示该切片已借走或该蜡块不在库。</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10、支持记录和查询切片、蜡块出库原因、调阅人、时间等信息，例如医嘱、借片、科研。</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11、支持科研式批量调取，提供制式Excel表格（例如ID号、病理号、申请号、患者姓名等查询条件），导入调取界面后，自动生成带有存放位置的报表，并自动区别在库情况，供仓库保管员调取相关物品，并最后生成实际调取登记本，供打印、签字。</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12、支持设定时长自动催还，按借阅原因、借阅人显示在不同的数据大屏界面。例如医嘱借阅超时显示在技术数据中心；科研调阅显示在诊断数据中心。</w:t>
            </w:r>
          </w:p>
        </w:tc>
      </w:tr>
      <w:tr>
        <w:tblPrEx>
          <w:tblCellMar>
            <w:top w:w="0" w:type="dxa"/>
            <w:left w:w="108" w:type="dxa"/>
            <w:bottom w:w="0" w:type="dxa"/>
            <w:right w:w="108" w:type="dxa"/>
          </w:tblCellMar>
        </w:tblPrEx>
        <w:trPr>
          <w:trHeight w:val="1134" w:hRule="atLeast"/>
        </w:trPr>
        <w:tc>
          <w:tcPr>
            <w:tcW w:w="750" w:type="dxa"/>
            <w:vMerge w:val="restart"/>
            <w:tcBorders>
              <w:top w:val="single" w:color="000000" w:sz="4" w:space="0"/>
              <w:left w:val="single" w:color="000000" w:sz="4" w:space="0"/>
              <w:right w:val="single" w:color="auto" w:sz="4" w:space="0"/>
            </w:tcBorders>
            <w:vAlign w:val="center"/>
          </w:tcPr>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Cs w:val="21"/>
                <w:highlight w:val="none"/>
                <w:lang w:eastAsia="zh-CN"/>
              </w:rPr>
            </w:pPr>
            <w:r>
              <w:rPr>
                <w:rFonts w:ascii="宋体" w:hAnsi="宋体" w:eastAsia="宋体" w:cs="宋体"/>
                <w:color w:val="auto"/>
                <w:sz w:val="21"/>
                <w:szCs w:val="21"/>
                <w:highlight w:val="none"/>
                <w:lang w:eastAsia="zh-CN"/>
              </w:rPr>
              <w:t>五、远程病理平台</w:t>
            </w:r>
          </w:p>
        </w:tc>
        <w:tc>
          <w:tcPr>
            <w:tcW w:w="905"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p>
          <w:p>
            <w:pPr>
              <w:pStyle w:val="14"/>
              <w:spacing w:line="360" w:lineRule="auto"/>
              <w:jc w:val="center"/>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w:t>
            </w:r>
          </w:p>
          <w:p>
            <w:pPr>
              <w:pStyle w:val="14"/>
              <w:spacing w:line="360" w:lineRule="auto"/>
              <w:jc w:val="center"/>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单位用户端</w:t>
            </w:r>
          </w:p>
        </w:tc>
        <w:tc>
          <w:tcPr>
            <w:tcW w:w="7041"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1、支持互联网web登陆，互联网申请端用户数不少于200个。</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2、记录患者详细信息、病史、检查、检验结果。</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3、记录送检标本的详细信息，包含物流编码、标本名称、标本数量、标本类型、采集部位、标本固定方式、固定时间、离体时间、接收时间、接收人，便于后期信息追溯。</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4、支持无纸化申请，手术医生无需打印申请单亦可提交病理申请。</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5、打印申请单，若需要纸质申请单亦可一键打印。</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6、支持标本分类录入，支持按照常规病理、快速病理、冰冻、细胞学等分类；支持按亚专科进行分库录入。</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7、记录标本标本固定方式，标本离体、标本固定时间、派送时间。</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8、标本状态查询，反馈标本接收状态、接收人、拒收时间、拒收原因等信息。</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9、支持按送检单位、科室账号查询、打印报告。</w:t>
            </w:r>
          </w:p>
        </w:tc>
      </w:tr>
      <w:tr>
        <w:tblPrEx>
          <w:tblCellMar>
            <w:top w:w="0" w:type="dxa"/>
            <w:left w:w="108" w:type="dxa"/>
            <w:bottom w:w="0" w:type="dxa"/>
            <w:right w:w="108" w:type="dxa"/>
          </w:tblCellMar>
        </w:tblPrEx>
        <w:trPr>
          <w:trHeight w:val="517" w:hRule="atLeast"/>
        </w:trPr>
        <w:tc>
          <w:tcPr>
            <w:tcW w:w="750" w:type="dxa"/>
            <w:vMerge w:val="continue"/>
            <w:tcBorders>
              <w:left w:val="single" w:color="000000" w:sz="4" w:space="0"/>
              <w:right w:val="single" w:color="auto" w:sz="4" w:space="0"/>
            </w:tcBorders>
            <w:vAlign w:val="center"/>
          </w:tcPr>
          <w:p>
            <w:pPr>
              <w:pStyle w:val="14"/>
              <w:spacing w:line="360" w:lineRule="auto"/>
              <w:jc w:val="center"/>
              <w:rPr>
                <w:rFonts w:hint="default" w:ascii="宋体" w:hAnsi="宋体" w:eastAsia="宋体" w:cs="宋体"/>
                <w:color w:val="auto"/>
                <w:sz w:val="21"/>
                <w:szCs w:val="21"/>
                <w:highlight w:val="none"/>
                <w:lang w:eastAsia="zh-CN"/>
              </w:rPr>
            </w:pPr>
          </w:p>
        </w:tc>
        <w:tc>
          <w:tcPr>
            <w:tcW w:w="905"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center"/>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w:t>
            </w:r>
          </w:p>
          <w:p>
            <w:pPr>
              <w:pStyle w:val="14"/>
              <w:spacing w:line="360" w:lineRule="auto"/>
              <w:jc w:val="center"/>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患者入口</w:t>
            </w:r>
          </w:p>
        </w:tc>
        <w:tc>
          <w:tcPr>
            <w:tcW w:w="7041"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1、支持患者查询、打印本人报告。</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2、支持借片预约、审批，打印申请单。</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3、支持切白片预约、审批。</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4、支持邮寄报告、切片的预约、审批。</w:t>
            </w:r>
          </w:p>
        </w:tc>
      </w:tr>
      <w:tr>
        <w:tblPrEx>
          <w:tblCellMar>
            <w:top w:w="0" w:type="dxa"/>
            <w:left w:w="108" w:type="dxa"/>
            <w:bottom w:w="0" w:type="dxa"/>
            <w:right w:w="108" w:type="dxa"/>
          </w:tblCellMar>
        </w:tblPrEx>
        <w:trPr>
          <w:trHeight w:val="421" w:hRule="atLeast"/>
        </w:trPr>
        <w:tc>
          <w:tcPr>
            <w:tcW w:w="750" w:type="dxa"/>
            <w:vMerge w:val="continue"/>
            <w:tcBorders>
              <w:left w:val="single" w:color="000000" w:sz="4" w:space="0"/>
              <w:right w:val="single" w:color="auto" w:sz="4" w:space="0"/>
            </w:tcBorders>
            <w:vAlign w:val="center"/>
          </w:tcPr>
          <w:p>
            <w:pPr>
              <w:widowControl/>
              <w:spacing w:line="400" w:lineRule="exact"/>
              <w:jc w:val="center"/>
              <w:rPr>
                <w:rFonts w:ascii="宋体" w:hAnsi="宋体" w:eastAsia="宋体" w:cs="宋体"/>
                <w:color w:val="auto"/>
                <w:kern w:val="0"/>
                <w:szCs w:val="21"/>
                <w:highlight w:val="none"/>
              </w:rPr>
            </w:pPr>
          </w:p>
        </w:tc>
        <w:tc>
          <w:tcPr>
            <w:tcW w:w="905"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center"/>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（3）</w:t>
            </w:r>
          </w:p>
          <w:p>
            <w:pPr>
              <w:pStyle w:val="14"/>
              <w:spacing w:line="360" w:lineRule="auto"/>
              <w:jc w:val="center"/>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诊断端</w:t>
            </w:r>
          </w:p>
        </w:tc>
        <w:tc>
          <w:tcPr>
            <w:tcW w:w="7041"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1、【远程诊断】支持内网报告、数字切片一键发布至外网平台。</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2、【远程诊断】支持诊断医生通过互联网远程阅片、诊断、报告回传。</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3、【远程会诊】支持完整的病理会诊综合解决方案，满足各医院网络远程数字切片上传、诊断、转诊、医嘱、补充诊断、报告下载打印。</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4、【远程会诊】完善的信息提醒机制，支持邮件、短信等方式进行会诊通知信息推送。</w:t>
            </w:r>
          </w:p>
          <w:p>
            <w:pPr>
              <w:pStyle w:val="14"/>
              <w:spacing w:line="360" w:lineRule="auto"/>
              <w:jc w:val="both"/>
              <w:rPr>
                <w:rFonts w:hint="eastAsia" w:ascii="宋体" w:hAnsi="宋体" w:eastAsia="宋体" w:cs="宋体"/>
                <w:color w:val="auto"/>
                <w:sz w:val="21"/>
                <w:szCs w:val="21"/>
                <w:lang w:eastAsia="zh-CN"/>
              </w:rPr>
            </w:pPr>
            <w:r>
              <w:rPr>
                <w:rFonts w:ascii="宋体" w:hAnsi="宋体" w:eastAsia="宋体" w:cs="宋体"/>
                <w:color w:val="auto"/>
                <w:sz w:val="21"/>
                <w:szCs w:val="21"/>
                <w:highlight w:val="none"/>
                <w:lang w:eastAsia="zh-CN"/>
              </w:rPr>
              <w:t>★5、【远程会诊】分享病例：病例可选择加密、公开、时效选择的方式，一键生成分享链接发给其他人。同时也支持分享已诊断病例。</w:t>
            </w:r>
            <w:r>
              <w:rPr>
                <w:rFonts w:hint="eastAsia" w:ascii="宋体" w:hAnsi="宋体" w:eastAsia="宋体" w:cs="宋体"/>
                <w:color w:val="auto"/>
                <w:sz w:val="21"/>
                <w:szCs w:val="21"/>
                <w:highlight w:val="none"/>
                <w:lang w:eastAsia="zh-CN"/>
              </w:rPr>
              <w:t>（</w:t>
            </w:r>
            <w:r>
              <w:rPr>
                <w:rFonts w:hint="eastAsia" w:ascii="宋体" w:hAnsi="宋体" w:eastAsia="宋体" w:cs="宋体"/>
                <w:b/>
                <w:bCs/>
                <w:color w:val="FF0000"/>
                <w:sz w:val="21"/>
                <w:szCs w:val="21"/>
                <w:lang w:eastAsia="zh-CN"/>
              </w:rPr>
              <w:t>提供现场系统功能演示，不接受ppt、录像等非系统功能演示形式</w:t>
            </w:r>
            <w:r>
              <w:rPr>
                <w:rFonts w:hint="eastAsia" w:ascii="宋体" w:hAnsi="宋体" w:eastAsia="宋体" w:cs="宋体"/>
                <w:color w:val="auto"/>
                <w:sz w:val="21"/>
                <w:szCs w:val="21"/>
                <w:highlight w:val="none"/>
                <w:lang w:eastAsia="zh-CN"/>
              </w:rPr>
              <w:t>）</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6、【远程会诊】查看/打印/导出已诊断报告：支持查看已诊断报告。</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7、支持判断报告是否已打印，决定是否能够一键撤回报告。</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8、数字病理切片格式兼容性高，能够兼容市面主流厂商设备数字切片格式，支持包括诸如麦克奥迪、江丰、优纳、志盈、生强、罗氏、莱卡、蔡司、飞利浦、帝麦克斯、3DHISTECH（匈牙利）、滨松（日本）等品牌的数字切片格式。</w:t>
            </w:r>
          </w:p>
        </w:tc>
      </w:tr>
      <w:tr>
        <w:tblPrEx>
          <w:tblCellMar>
            <w:top w:w="0" w:type="dxa"/>
            <w:left w:w="108" w:type="dxa"/>
            <w:bottom w:w="0" w:type="dxa"/>
            <w:right w:w="108" w:type="dxa"/>
          </w:tblCellMar>
        </w:tblPrEx>
        <w:trPr>
          <w:trHeight w:val="1134" w:hRule="atLeast"/>
        </w:trPr>
        <w:tc>
          <w:tcPr>
            <w:tcW w:w="750" w:type="dxa"/>
            <w:vMerge w:val="continue"/>
            <w:tcBorders>
              <w:left w:val="single" w:color="000000" w:sz="4" w:space="0"/>
              <w:bottom w:val="single" w:color="000000" w:sz="4" w:space="0"/>
              <w:right w:val="single" w:color="auto" w:sz="4" w:space="0"/>
            </w:tcBorders>
            <w:vAlign w:val="center"/>
          </w:tcPr>
          <w:p>
            <w:pPr>
              <w:widowControl/>
              <w:spacing w:line="400" w:lineRule="exact"/>
              <w:jc w:val="center"/>
              <w:rPr>
                <w:rFonts w:ascii="宋体" w:hAnsi="宋体" w:eastAsia="宋体" w:cs="宋体"/>
                <w:color w:val="auto"/>
                <w:kern w:val="0"/>
                <w:szCs w:val="21"/>
                <w:highlight w:val="none"/>
              </w:rPr>
            </w:pPr>
          </w:p>
        </w:tc>
        <w:tc>
          <w:tcPr>
            <w:tcW w:w="905"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center"/>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w:t>
            </w:r>
          </w:p>
          <w:p>
            <w:pPr>
              <w:pStyle w:val="14"/>
              <w:spacing w:line="360" w:lineRule="auto"/>
              <w:jc w:val="center"/>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教学端</w:t>
            </w:r>
          </w:p>
        </w:tc>
        <w:tc>
          <w:tcPr>
            <w:tcW w:w="7041"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1、支持创建数字切片教学专栏。</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2、支持按专栏加密、公开、时效定义专栏的属性。</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3、支持批量上传数字切片，可上传教学资料，以及word、excel、取材视频多种格式的文本资料。也可支持从内网报告系统导入数字切片。</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4、切片资源可作为试题库，并支持随机出题，可按组或人员分发试卷，供考试考核。</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★5、教学模块包含课程教学、作业中心、考试中心、资源中心、课程统计、课程评教模块，可完成课程学习、考试、成绩统计、课程评教功能。</w:t>
            </w:r>
            <w:r>
              <w:rPr>
                <w:rFonts w:hint="eastAsia" w:ascii="宋体" w:hAnsi="宋体" w:eastAsia="宋体" w:cs="宋体"/>
                <w:color w:val="auto"/>
                <w:sz w:val="21"/>
                <w:szCs w:val="21"/>
                <w:highlight w:val="none"/>
                <w:lang w:eastAsia="zh-CN"/>
              </w:rPr>
              <w:t>（</w:t>
            </w:r>
            <w:r>
              <w:rPr>
                <w:rFonts w:hint="eastAsia" w:ascii="宋体" w:hAnsi="宋体" w:eastAsia="宋体" w:cs="宋体"/>
                <w:b/>
                <w:bCs/>
                <w:color w:val="FF0000"/>
                <w:sz w:val="21"/>
                <w:szCs w:val="21"/>
                <w:lang w:eastAsia="zh-CN"/>
              </w:rPr>
              <w:t>提供现场系统功能演示，不接受ppt、录像等非系统功能演示形式</w:t>
            </w:r>
            <w:r>
              <w:rPr>
                <w:rFonts w:hint="eastAsia" w:ascii="宋体" w:hAnsi="宋体" w:eastAsia="宋体" w:cs="宋体"/>
                <w:color w:val="auto"/>
                <w:sz w:val="21"/>
                <w:szCs w:val="21"/>
                <w:highlight w:val="none"/>
                <w:lang w:eastAsia="zh-CN"/>
              </w:rPr>
              <w:t>）</w:t>
            </w:r>
          </w:p>
        </w:tc>
      </w:tr>
      <w:tr>
        <w:tblPrEx>
          <w:tblCellMar>
            <w:top w:w="0" w:type="dxa"/>
            <w:left w:w="108" w:type="dxa"/>
            <w:bottom w:w="0" w:type="dxa"/>
            <w:right w:w="108" w:type="dxa"/>
          </w:tblCellMar>
        </w:tblPrEx>
        <w:trPr>
          <w:trHeight w:val="1134" w:hRule="atLeast"/>
        </w:trPr>
        <w:tc>
          <w:tcPr>
            <w:tcW w:w="750" w:type="dxa"/>
            <w:tcBorders>
              <w:top w:val="single" w:color="000000" w:sz="4" w:space="0"/>
              <w:left w:val="single" w:color="000000" w:sz="4" w:space="0"/>
              <w:bottom w:val="single" w:color="000000" w:sz="4" w:space="0"/>
              <w:right w:val="single" w:color="auto" w:sz="4" w:space="0"/>
            </w:tcBorders>
            <w:vAlign w:val="center"/>
          </w:tcPr>
          <w:p>
            <w:pPr>
              <w:pStyle w:val="14"/>
              <w:spacing w:line="360" w:lineRule="auto"/>
              <w:jc w:val="center"/>
              <w:rPr>
                <w:rFonts w:hint="default" w:ascii="宋体" w:hAnsi="宋体" w:eastAsia="宋体" w:cs="宋体"/>
                <w:color w:val="auto"/>
                <w:szCs w:val="21"/>
                <w:highlight w:val="none"/>
                <w:lang w:eastAsia="zh-CN"/>
              </w:rPr>
            </w:pPr>
            <w:r>
              <w:rPr>
                <w:rFonts w:ascii="宋体" w:hAnsi="宋体" w:eastAsia="宋体" w:cs="宋体"/>
                <w:color w:val="auto"/>
                <w:sz w:val="21"/>
                <w:szCs w:val="21"/>
                <w:highlight w:val="none"/>
                <w:lang w:eastAsia="zh-CN"/>
              </w:rPr>
              <w:t>六、生物样本管理模块</w:t>
            </w:r>
          </w:p>
        </w:tc>
        <w:tc>
          <w:tcPr>
            <w:tcW w:w="905"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center"/>
              <w:rPr>
                <w:rFonts w:hint="default" w:ascii="宋体" w:hAnsi="宋体" w:eastAsia="宋体" w:cs="宋体"/>
                <w:color w:val="auto"/>
                <w:sz w:val="21"/>
                <w:szCs w:val="21"/>
                <w:highlight w:val="none"/>
                <w:lang w:eastAsia="zh-CN"/>
              </w:rPr>
            </w:pPr>
          </w:p>
        </w:tc>
        <w:tc>
          <w:tcPr>
            <w:tcW w:w="7041"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1、支持容器树状结构化管理，房间、冰箱、层架、盒子。</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2、支持记录样本的患者信息、生物样本类别、疾病系统分类、疾病病种分类、科研项目分类等。</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3、支持用户自定义样本信息的结构和字段内容。</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4、用户可以按照课题组、科室、医院、研究机构等组织结构来划分组。</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5、根据用户所在不同分组，设置访问或操作其所属机构的样本的权限。</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6、支持患者信息、诊断结果从HIS、PACS、LIS、PIS中直接调用。</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7、支持冻存管预置二维编码的记录和管理；也可以支持标签打印管理。</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8、支持按系统分类编号，支持按生物样本类别设置亚号。</w:t>
            </w:r>
            <w:r>
              <w:rPr>
                <w:rFonts w:ascii="宋体" w:hAnsi="宋体" w:eastAsia="宋体" w:cs="宋体"/>
                <w:color w:val="auto"/>
                <w:sz w:val="21"/>
                <w:szCs w:val="21"/>
                <w:highlight w:val="none"/>
                <w:lang w:eastAsia="zh-CN"/>
              </w:rPr>
              <w:tab/>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9、支持记录病种ICD-0编码。</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10、同一患者信息下支持记录多条生物样本信息，例如组织、血液等</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11、支持同一患者入库多份生物样本的，直接复制样本信息。</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★12、支持样品入库、出库、还库、审核管理。</w:t>
            </w:r>
            <w:r>
              <w:rPr>
                <w:rFonts w:hint="eastAsia" w:ascii="宋体" w:hAnsi="宋体" w:eastAsia="宋体" w:cs="宋体"/>
                <w:color w:val="auto"/>
                <w:sz w:val="21"/>
                <w:szCs w:val="21"/>
                <w:highlight w:val="none"/>
                <w:lang w:eastAsia="zh-CN"/>
              </w:rPr>
              <w:t>（</w:t>
            </w:r>
            <w:r>
              <w:rPr>
                <w:rFonts w:hint="eastAsia" w:ascii="宋体" w:hAnsi="宋体" w:eastAsia="宋体" w:cs="宋体"/>
                <w:b/>
                <w:bCs/>
                <w:color w:val="FF0000"/>
                <w:sz w:val="21"/>
                <w:szCs w:val="21"/>
                <w:lang w:eastAsia="zh-CN"/>
              </w:rPr>
              <w:t>提供现场系统功能演示，不接受ppt、录像等非系统功能演示形式</w:t>
            </w:r>
            <w:r>
              <w:rPr>
                <w:rFonts w:hint="eastAsia" w:ascii="宋体" w:hAnsi="宋体" w:eastAsia="宋体" w:cs="宋体"/>
                <w:color w:val="auto"/>
                <w:sz w:val="21"/>
                <w:szCs w:val="21"/>
                <w:highlight w:val="none"/>
                <w:lang w:eastAsia="zh-CN"/>
              </w:rPr>
              <w:t>）</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13、支持通过样本信息中的条件组合筛选样本，进而实现批量出库。</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14、系统具备已出库样本查询功能，支持查看已出库样本的信息记录。支持催还。</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15、样品冷冻盒位置校验，可以通过输入或者扫描样本编号，快速获取样本目前的状态和存储位置等信息。</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★16、支持记录出库原因、出库科研项目编号。支持出库科研项目编号与原入库项目编号不符的，需原科研项目负责人审批。</w:t>
            </w:r>
            <w:r>
              <w:rPr>
                <w:rFonts w:hint="eastAsia" w:ascii="宋体" w:hAnsi="宋体" w:eastAsia="宋体" w:cs="宋体"/>
                <w:color w:val="auto"/>
                <w:sz w:val="21"/>
                <w:szCs w:val="21"/>
                <w:highlight w:val="none"/>
                <w:lang w:eastAsia="zh-CN"/>
              </w:rPr>
              <w:t>（</w:t>
            </w:r>
            <w:r>
              <w:rPr>
                <w:rFonts w:hint="eastAsia" w:ascii="宋体" w:hAnsi="宋体" w:eastAsia="宋体" w:cs="宋体"/>
                <w:b/>
                <w:bCs/>
                <w:color w:val="FF0000"/>
                <w:sz w:val="21"/>
                <w:szCs w:val="21"/>
                <w:lang w:eastAsia="zh-CN"/>
              </w:rPr>
              <w:t>提供现场系统功能演示，不接受ppt、录像等非系统功能演示形式</w:t>
            </w:r>
            <w:r>
              <w:rPr>
                <w:rFonts w:hint="eastAsia" w:ascii="宋体" w:hAnsi="宋体" w:eastAsia="宋体" w:cs="宋体"/>
                <w:color w:val="auto"/>
                <w:sz w:val="21"/>
                <w:szCs w:val="21"/>
                <w:highlight w:val="none"/>
                <w:lang w:eastAsia="zh-CN"/>
              </w:rPr>
              <w:t>）</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17、支持样本出库时依旧保留样本的原有位置信息，显示出库状态。</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18、支持打印出库信息列表，方便调取及交接。</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19、支持还库记录标本剩余量。</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20、支持根据还库次数记录标本冻融次数。</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21、支持删除样本库里的样本，被删除的样本存放在样本回收站中，样本回收站中的样本可以被彻底删除或撤销删除。</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22、支持为患者生成随访计划。</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Cs w:val="21"/>
                <w:highlight w:val="none"/>
                <w:lang w:val="es-AR"/>
              </w:rPr>
              <w:t>▲</w:t>
            </w:r>
            <w:r>
              <w:rPr>
                <w:rFonts w:ascii="宋体" w:hAnsi="宋体" w:eastAsia="宋体" w:cs="宋体"/>
                <w:color w:val="auto"/>
                <w:sz w:val="21"/>
                <w:szCs w:val="21"/>
                <w:highlight w:val="none"/>
                <w:lang w:eastAsia="zh-CN"/>
              </w:rPr>
              <w:t>23、随访计划的生成可单条增加，也可批量规律性增加。（</w:t>
            </w:r>
            <w:r>
              <w:rPr>
                <w:rFonts w:ascii="宋体" w:hAnsi="宋体" w:eastAsia="宋体" w:cs="宋体"/>
                <w:b/>
                <w:bCs/>
                <w:color w:val="FF0000"/>
                <w:sz w:val="21"/>
                <w:szCs w:val="21"/>
                <w:highlight w:val="none"/>
                <w:lang w:eastAsia="zh-CN"/>
              </w:rPr>
              <w:t>提供系统截图，并加盖公章</w:t>
            </w:r>
            <w:r>
              <w:rPr>
                <w:rFonts w:ascii="宋体" w:hAnsi="宋体" w:eastAsia="宋体" w:cs="宋体"/>
                <w:color w:val="auto"/>
                <w:sz w:val="21"/>
                <w:szCs w:val="21"/>
                <w:highlight w:val="none"/>
                <w:lang w:eastAsia="zh-CN"/>
              </w:rPr>
              <w:t>）</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24、支持通过筛选找到需要的随访记录。</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25、支持记录每次随访的随访数据和随访状态。</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26、支持用户可以自定义随访信息的结构和字段内容。</w:t>
            </w:r>
          </w:p>
        </w:tc>
      </w:tr>
      <w:tr>
        <w:tblPrEx>
          <w:tblCellMar>
            <w:top w:w="0" w:type="dxa"/>
            <w:left w:w="108" w:type="dxa"/>
            <w:bottom w:w="0" w:type="dxa"/>
            <w:right w:w="108" w:type="dxa"/>
          </w:tblCellMar>
        </w:tblPrEx>
        <w:trPr>
          <w:trHeight w:val="892" w:hRule="atLeast"/>
        </w:trPr>
        <w:tc>
          <w:tcPr>
            <w:tcW w:w="750" w:type="dxa"/>
            <w:tcBorders>
              <w:top w:val="single" w:color="000000" w:sz="4" w:space="0"/>
              <w:left w:val="single" w:color="000000" w:sz="4" w:space="0"/>
              <w:bottom w:val="single" w:color="000000" w:sz="4" w:space="0"/>
              <w:right w:val="single" w:color="auto" w:sz="4" w:space="0"/>
            </w:tcBorders>
            <w:vAlign w:val="center"/>
          </w:tcPr>
          <w:p>
            <w:pPr>
              <w:pStyle w:val="14"/>
              <w:spacing w:line="360" w:lineRule="auto"/>
              <w:jc w:val="center"/>
              <w:rPr>
                <w:rFonts w:hint="default" w:ascii="宋体" w:hAnsi="宋体" w:eastAsia="宋体" w:cs="宋体"/>
                <w:color w:val="auto"/>
                <w:szCs w:val="21"/>
                <w:highlight w:val="none"/>
                <w:lang w:eastAsia="zh-CN"/>
              </w:rPr>
            </w:pPr>
            <w:r>
              <w:rPr>
                <w:rFonts w:ascii="宋体" w:hAnsi="宋体" w:eastAsia="宋体" w:cs="宋体"/>
                <w:color w:val="auto"/>
                <w:sz w:val="21"/>
                <w:szCs w:val="21"/>
                <w:highlight w:val="none"/>
                <w:lang w:eastAsia="zh-CN"/>
              </w:rPr>
              <w:t>七、运营中心</w:t>
            </w:r>
          </w:p>
        </w:tc>
        <w:tc>
          <w:tcPr>
            <w:tcW w:w="905"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center"/>
              <w:rPr>
                <w:rFonts w:hint="default" w:ascii="宋体" w:hAnsi="宋体" w:eastAsia="宋体" w:cs="宋体"/>
                <w:color w:val="auto"/>
                <w:sz w:val="21"/>
                <w:szCs w:val="21"/>
                <w:highlight w:val="none"/>
                <w:lang w:eastAsia="zh-CN"/>
              </w:rPr>
            </w:pPr>
          </w:p>
        </w:tc>
        <w:tc>
          <w:tcPr>
            <w:tcW w:w="7041"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1、提供运营中心监控模块，大屏显示当前运营情况，例如工作进度、工作效率、任务列表、加急病例进展、紧急通知、仓库归档信息列表等。</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2、支持各部门中心的需求显示不同的运营内容，如主任中心、诊断中心、技术中心、资料室中心等。</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3、支持占屏通知、语音播报，支持设置占屏时间。</w:t>
            </w:r>
          </w:p>
        </w:tc>
      </w:tr>
      <w:tr>
        <w:tblPrEx>
          <w:tblCellMar>
            <w:top w:w="0" w:type="dxa"/>
            <w:left w:w="108" w:type="dxa"/>
            <w:bottom w:w="0" w:type="dxa"/>
            <w:right w:w="108" w:type="dxa"/>
          </w:tblCellMar>
        </w:tblPrEx>
        <w:trPr>
          <w:trHeight w:val="1134" w:hRule="atLeast"/>
        </w:trPr>
        <w:tc>
          <w:tcPr>
            <w:tcW w:w="750" w:type="dxa"/>
            <w:vMerge w:val="restart"/>
            <w:tcBorders>
              <w:top w:val="single" w:color="000000" w:sz="4" w:space="0"/>
              <w:left w:val="single" w:color="000000" w:sz="4" w:space="0"/>
              <w:right w:val="single" w:color="auto" w:sz="4" w:space="0"/>
            </w:tcBorders>
            <w:vAlign w:val="center"/>
          </w:tcPr>
          <w:p>
            <w:pPr>
              <w:pStyle w:val="14"/>
              <w:spacing w:line="360" w:lineRule="auto"/>
              <w:jc w:val="center"/>
              <w:rPr>
                <w:rFonts w:hint="default" w:ascii="宋体" w:hAnsi="宋体" w:eastAsia="宋体" w:cs="宋体"/>
                <w:color w:val="auto"/>
                <w:szCs w:val="21"/>
                <w:highlight w:val="none"/>
                <w:lang w:eastAsia="zh-CN"/>
              </w:rPr>
            </w:pPr>
            <w:r>
              <w:rPr>
                <w:rFonts w:ascii="宋体" w:hAnsi="宋体" w:eastAsia="宋体" w:cs="宋体"/>
                <w:color w:val="auto"/>
                <w:sz w:val="21"/>
                <w:szCs w:val="21"/>
                <w:highlight w:val="none"/>
                <w:lang w:eastAsia="zh-CN"/>
              </w:rPr>
              <w:t>八、后台配置</w:t>
            </w:r>
          </w:p>
        </w:tc>
        <w:tc>
          <w:tcPr>
            <w:tcW w:w="905"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center"/>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（1）用户管理</w:t>
            </w:r>
          </w:p>
        </w:tc>
        <w:tc>
          <w:tcPr>
            <w:tcW w:w="7041"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1、用户管理，针对病理科人员变动，管理员可以单独新建、修改、删除、冻结、启用每个用户。支持设定自动冻结时间。</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2、支持账号冻结状态下，禁止登陆，在系统中不被显示也不能被分配工作。</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3、多角色管理控制用户权限，将用户角色化，同角色用户拥有相同的权限，角色权限可以由管理员进行设置。</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4、角色权限细分，支持单人多角色配置。</w:t>
            </w:r>
          </w:p>
        </w:tc>
      </w:tr>
      <w:tr>
        <w:tblPrEx>
          <w:tblCellMar>
            <w:top w:w="0" w:type="dxa"/>
            <w:left w:w="108" w:type="dxa"/>
            <w:bottom w:w="0" w:type="dxa"/>
            <w:right w:w="108" w:type="dxa"/>
          </w:tblCellMar>
        </w:tblPrEx>
        <w:trPr>
          <w:trHeight w:val="312" w:hRule="atLeast"/>
        </w:trPr>
        <w:tc>
          <w:tcPr>
            <w:tcW w:w="750" w:type="dxa"/>
            <w:vMerge w:val="continue"/>
            <w:tcBorders>
              <w:left w:val="single" w:color="000000" w:sz="4" w:space="0"/>
              <w:right w:val="single" w:color="auto" w:sz="4" w:space="0"/>
            </w:tcBorders>
            <w:vAlign w:val="center"/>
          </w:tcPr>
          <w:p>
            <w:pPr>
              <w:widowControl/>
              <w:spacing w:line="400" w:lineRule="exact"/>
              <w:jc w:val="center"/>
              <w:rPr>
                <w:rFonts w:ascii="宋体" w:hAnsi="宋体" w:eastAsia="宋体" w:cs="宋体"/>
                <w:color w:val="auto"/>
                <w:kern w:val="0"/>
                <w:szCs w:val="21"/>
                <w:highlight w:val="none"/>
              </w:rPr>
            </w:pPr>
          </w:p>
        </w:tc>
        <w:tc>
          <w:tcPr>
            <w:tcW w:w="905"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center"/>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（2）信息管理</w:t>
            </w:r>
          </w:p>
        </w:tc>
        <w:tc>
          <w:tcPr>
            <w:tcW w:w="7041"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1、管理员可以对送检医院、送检科室、送检医生、常用词、收藏列表进行编辑、排序，以提高工作效率。</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2、访问终端设置，管理员针对客户端IP地址可设定访问权限。</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3、编码规则设置，支持自定义病理名称、长度、前缀、连接符和中间数字等。</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4、格式设计，管理员可根据需求编辑本系统中出现的所有报告样式，包括申请单和回执单。</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Cs w:val="21"/>
                <w:highlight w:val="none"/>
                <w:lang w:val="es-AR"/>
              </w:rPr>
              <w:t>▲</w:t>
            </w:r>
            <w:r>
              <w:rPr>
                <w:rFonts w:ascii="宋体" w:hAnsi="宋体" w:eastAsia="宋体" w:cs="宋体"/>
                <w:color w:val="auto"/>
                <w:sz w:val="21"/>
                <w:szCs w:val="21"/>
                <w:highlight w:val="none"/>
                <w:lang w:eastAsia="zh-CN"/>
              </w:rPr>
              <w:t>5、提供结构化报告模板，报告模板的自定义编写界面和预览界面应展示友好。（</w:t>
            </w:r>
            <w:r>
              <w:rPr>
                <w:rFonts w:ascii="宋体" w:hAnsi="宋体" w:eastAsia="宋体" w:cs="宋体"/>
                <w:b/>
                <w:bCs/>
                <w:color w:val="FF0000"/>
                <w:sz w:val="21"/>
                <w:szCs w:val="21"/>
                <w:highlight w:val="none"/>
                <w:lang w:eastAsia="zh-CN"/>
              </w:rPr>
              <w:t>提供系统截图，并加盖公章</w:t>
            </w:r>
            <w:r>
              <w:rPr>
                <w:rFonts w:ascii="宋体" w:hAnsi="宋体" w:eastAsia="宋体" w:cs="宋体"/>
                <w:color w:val="auto"/>
                <w:sz w:val="21"/>
                <w:szCs w:val="21"/>
                <w:highlight w:val="none"/>
                <w:lang w:eastAsia="zh-CN"/>
              </w:rPr>
              <w:t>）</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6、</w:t>
            </w:r>
            <w:r>
              <w:rPr>
                <w:rFonts w:hint="eastAsia" w:ascii="宋体" w:hAnsi="宋体" w:eastAsia="宋体" w:cs="宋体"/>
                <w:color w:val="auto"/>
                <w:sz w:val="21"/>
                <w:szCs w:val="21"/>
                <w:highlight w:val="none"/>
                <w:lang w:eastAsia="zh-CN"/>
              </w:rPr>
              <w:t>诊断录入框</w:t>
            </w:r>
            <w:r>
              <w:rPr>
                <w:rFonts w:ascii="宋体" w:hAnsi="宋体" w:eastAsia="宋体" w:cs="宋体"/>
                <w:color w:val="auto"/>
                <w:sz w:val="21"/>
                <w:szCs w:val="21"/>
                <w:highlight w:val="none"/>
                <w:lang w:eastAsia="zh-CN"/>
              </w:rPr>
              <w:t>支持特殊分类的富文本编辑器，参考Word编辑器的工具栏、可调节字体、斜体、加粗、颜色等等。例如肾穿报告或分子病理报告需要图文、表格等多种文本格式汇总。</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★7、支持自定义工作流，按照科室需要自定义设置相关工作流可以跳过/免除子流程，例如会诊工作流，登记后可以跳过取材、切片子流程。</w:t>
            </w:r>
            <w:r>
              <w:rPr>
                <w:rFonts w:hint="eastAsia" w:ascii="宋体" w:hAnsi="宋体" w:eastAsia="宋体" w:cs="宋体"/>
                <w:color w:val="auto"/>
                <w:sz w:val="21"/>
                <w:szCs w:val="21"/>
                <w:highlight w:val="none"/>
                <w:lang w:eastAsia="zh-CN"/>
              </w:rPr>
              <w:t>（</w:t>
            </w:r>
            <w:r>
              <w:rPr>
                <w:rFonts w:hint="eastAsia" w:ascii="宋体" w:hAnsi="宋体" w:eastAsia="宋体" w:cs="宋体"/>
                <w:b/>
                <w:bCs/>
                <w:color w:val="FF0000"/>
                <w:sz w:val="21"/>
                <w:szCs w:val="21"/>
                <w:lang w:eastAsia="zh-CN"/>
              </w:rPr>
              <w:t>提供现场系统功能演示，不接受ppt、录像等非系统功能演示形式</w:t>
            </w:r>
            <w:r>
              <w:rPr>
                <w:rFonts w:hint="eastAsia" w:ascii="宋体" w:hAnsi="宋体" w:eastAsia="宋体" w:cs="宋体"/>
                <w:color w:val="auto"/>
                <w:sz w:val="21"/>
                <w:szCs w:val="21"/>
                <w:highlight w:val="none"/>
                <w:lang w:eastAsia="zh-CN"/>
              </w:rPr>
              <w:t>）</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Cs w:val="21"/>
                <w:highlight w:val="none"/>
                <w:lang w:val="es-AR"/>
              </w:rPr>
              <w:t>▲</w:t>
            </w:r>
            <w:r>
              <w:rPr>
                <w:rFonts w:ascii="宋体" w:hAnsi="宋体" w:eastAsia="宋体" w:cs="宋体"/>
                <w:color w:val="auto"/>
                <w:sz w:val="21"/>
                <w:szCs w:val="21"/>
                <w:highlight w:val="none"/>
                <w:lang w:eastAsia="zh-CN"/>
              </w:rPr>
              <w:t>8、超时配置，针对冰冻、会诊等不同检查方法可独立设置超时配置，并且提供各个环节的时间管理。通知的人员、通知次数和方式、节假日跳过设置等。（</w:t>
            </w:r>
            <w:r>
              <w:rPr>
                <w:rFonts w:ascii="宋体" w:hAnsi="宋体" w:eastAsia="宋体" w:cs="宋体"/>
                <w:b/>
                <w:bCs/>
                <w:color w:val="FF0000"/>
                <w:sz w:val="21"/>
                <w:szCs w:val="21"/>
                <w:highlight w:val="none"/>
                <w:lang w:eastAsia="zh-CN"/>
              </w:rPr>
              <w:t>提供系统截图，并加盖公章</w:t>
            </w:r>
            <w:r>
              <w:rPr>
                <w:rFonts w:ascii="宋体" w:hAnsi="宋体" w:eastAsia="宋体" w:cs="宋体"/>
                <w:color w:val="auto"/>
                <w:sz w:val="21"/>
                <w:szCs w:val="21"/>
                <w:highlight w:val="none"/>
                <w:lang w:eastAsia="zh-CN"/>
              </w:rPr>
              <w:t>）</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Cs w:val="21"/>
                <w:highlight w:val="none"/>
                <w:lang w:val="es-AR"/>
              </w:rPr>
              <w:t>▲</w:t>
            </w:r>
            <w:r>
              <w:rPr>
                <w:rFonts w:ascii="宋体" w:hAnsi="宋体" w:eastAsia="宋体" w:cs="宋体"/>
                <w:color w:val="auto"/>
                <w:sz w:val="21"/>
                <w:szCs w:val="21"/>
                <w:highlight w:val="none"/>
                <w:lang w:eastAsia="zh-CN"/>
              </w:rPr>
              <w:t>9、支持节假日配置，新增、编辑、删除系统节假日及补班；时间统计模块根据设置的系统节假日、补班，自动缩减、增加统计时长。支持每年年底提醒管理员设置节假日。（</w:t>
            </w:r>
            <w:r>
              <w:rPr>
                <w:rFonts w:ascii="宋体" w:hAnsi="宋体" w:eastAsia="宋体" w:cs="宋体"/>
                <w:b/>
                <w:bCs/>
                <w:color w:val="FF0000"/>
                <w:sz w:val="21"/>
                <w:szCs w:val="21"/>
                <w:highlight w:val="none"/>
                <w:lang w:eastAsia="zh-CN"/>
              </w:rPr>
              <w:t>提供系统截图，并加盖公章</w:t>
            </w:r>
            <w:r>
              <w:rPr>
                <w:rFonts w:ascii="宋体" w:hAnsi="宋体" w:eastAsia="宋体" w:cs="宋体"/>
                <w:color w:val="auto"/>
                <w:sz w:val="21"/>
                <w:szCs w:val="21"/>
                <w:highlight w:val="none"/>
                <w:lang w:eastAsia="zh-CN"/>
              </w:rPr>
              <w:t>）</w:t>
            </w:r>
          </w:p>
        </w:tc>
      </w:tr>
      <w:tr>
        <w:tblPrEx>
          <w:tblCellMar>
            <w:top w:w="0" w:type="dxa"/>
            <w:left w:w="108" w:type="dxa"/>
            <w:bottom w:w="0" w:type="dxa"/>
            <w:right w:w="108" w:type="dxa"/>
          </w:tblCellMar>
        </w:tblPrEx>
        <w:trPr>
          <w:trHeight w:val="1134" w:hRule="atLeast"/>
        </w:trPr>
        <w:tc>
          <w:tcPr>
            <w:tcW w:w="750" w:type="dxa"/>
            <w:tcBorders>
              <w:left w:val="single" w:color="000000" w:sz="4" w:space="0"/>
              <w:bottom w:val="single" w:color="000000" w:sz="4" w:space="0"/>
              <w:right w:val="single" w:color="auto" w:sz="4" w:space="0"/>
            </w:tcBorders>
            <w:vAlign w:val="center"/>
          </w:tcPr>
          <w:p>
            <w:pPr>
              <w:widowControl/>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九、附赠硬件</w:t>
            </w:r>
          </w:p>
        </w:tc>
        <w:tc>
          <w:tcPr>
            <w:tcW w:w="905"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center"/>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配置需求</w:t>
            </w:r>
          </w:p>
        </w:tc>
        <w:tc>
          <w:tcPr>
            <w:tcW w:w="7041" w:type="dxa"/>
            <w:tcBorders>
              <w:top w:val="single" w:color="000000" w:sz="4" w:space="0"/>
              <w:left w:val="single" w:color="000000" w:sz="4" w:space="0"/>
              <w:bottom w:val="single" w:color="000000" w:sz="4" w:space="0"/>
              <w:right w:val="single" w:color="000000" w:sz="4" w:space="0"/>
            </w:tcBorders>
            <w:vAlign w:val="center"/>
          </w:tcPr>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1、身份证读卡器*2套</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2、一维码\二维码扫描枪*10把</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支持屏幕扫描；</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最小扫描尺寸不大于0.6x0.6cm；</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支持一次性能同时读取最少15个条码，并按顺序输出</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3、工控一体机*10台</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15英寸及以上电阻屏，响应时间≤5ms；</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一体无缝设计，防尘、防水、防油污；</w:t>
            </w:r>
          </w:p>
          <w:p>
            <w:pPr>
              <w:pStyle w:val="14"/>
              <w:spacing w:line="360" w:lineRule="auto"/>
              <w:jc w:val="both"/>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CPU基础频率</w:t>
            </w:r>
            <w:r>
              <w:rPr>
                <w:rFonts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2.6GHz</w:t>
            </w:r>
            <w:r>
              <w:rPr>
                <w:rFonts w:ascii="宋体" w:hAnsi="宋体" w:eastAsia="宋体" w:cs="宋体"/>
                <w:color w:val="auto"/>
                <w:sz w:val="21"/>
                <w:szCs w:val="21"/>
                <w:highlight w:val="none"/>
                <w:lang w:eastAsia="zh-CN"/>
              </w:rPr>
              <w:t>；</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内存4G及以上；</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固态硬盘64G及以上；</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4、包埋盒专用批量识别装置和/或高拍仪，共10台</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单次识别数量：&gt;100片；</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 xml:space="preserve">识别时间：≤10s； </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支持编码：OCR识别、一维码、二维码；</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单个二维码识别面积支持≤0.4x0.4cm；</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批量识别成功率≥90%；</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5、语音转文字录入话筒*5台</w:t>
            </w:r>
          </w:p>
          <w:p>
            <w:pPr>
              <w:pStyle w:val="14"/>
              <w:spacing w:line="360" w:lineRule="auto"/>
              <w:jc w:val="both"/>
              <w:rPr>
                <w:rFonts w:hint="default"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6、75寸或以上大屏幕一体机*1台</w:t>
            </w:r>
          </w:p>
        </w:tc>
      </w:tr>
    </w:tbl>
    <w:p>
      <w:pPr>
        <w:rPr>
          <w:color w:val="000000" w:themeColor="text1"/>
          <w14:textFill>
            <w14:solidFill>
              <w14:schemeClr w14:val="tx1"/>
            </w14:solidFill>
          </w14:textFill>
        </w:rPr>
      </w:pPr>
      <w:bookmarkStart w:id="27" w:name="_GoBack"/>
      <w:bookmarkEnd w:id="27"/>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ascii="楷体_GB2312" w:hAnsi="楷体" w:eastAsia="楷体_GB2312" w:cs="楷体"/>
        <w:sz w:val="21"/>
        <w:szCs w:val="21"/>
      </w:rPr>
    </w:pPr>
    <w:r>
      <w:rPr>
        <w:rFonts w:hint="eastAsia" w:ascii="楷体_GB2312" w:hAnsi="楷体" w:eastAsia="楷体_GB2312" w:cs="楷体"/>
        <w:sz w:val="21"/>
        <w:szCs w:val="21"/>
      </w:rPr>
      <w:t>第六章 采购项目商务和技术要求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22F1BD"/>
    <w:multiLevelType w:val="singleLevel"/>
    <w:tmpl w:val="D122F1B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5NGU2MGIyYTk2ODNjYWE3Zjc1ODE5ODUwMWYyYzYifQ=="/>
  </w:docVars>
  <w:rsids>
    <w:rsidRoot w:val="00E63F92"/>
    <w:rsid w:val="00E63F92"/>
    <w:rsid w:val="06E36108"/>
    <w:rsid w:val="0A35502C"/>
    <w:rsid w:val="19CE63C1"/>
    <w:rsid w:val="2A763AD8"/>
    <w:rsid w:val="4DB15F20"/>
    <w:rsid w:val="52717056"/>
    <w:rsid w:val="552705DC"/>
    <w:rsid w:val="64EB01FD"/>
    <w:rsid w:val="65C00325"/>
    <w:rsid w:val="69195C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autoRedefine/>
    <w:qFormat/>
    <w:uiPriority w:val="0"/>
    <w:pPr>
      <w:keepNext/>
      <w:keepLines/>
      <w:spacing w:before="260" w:after="260" w:line="416" w:lineRule="auto"/>
      <w:outlineLvl w:val="2"/>
    </w:pPr>
    <w:rPr>
      <w:rFonts w:eastAsia="黑体"/>
      <w:b/>
      <w:bCs/>
      <w:sz w:val="32"/>
      <w:szCs w:val="32"/>
    </w:rPr>
  </w:style>
  <w:style w:type="character" w:default="1" w:styleId="11">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99"/>
    <w:pPr>
      <w:spacing w:after="120"/>
    </w:pPr>
  </w:style>
  <w:style w:type="paragraph" w:styleId="4">
    <w:name w:val="Body Text Indent"/>
    <w:basedOn w:val="1"/>
    <w:next w:val="5"/>
    <w:autoRedefine/>
    <w:qFormat/>
    <w:uiPriority w:val="0"/>
    <w:pPr>
      <w:spacing w:after="120"/>
      <w:ind w:left="420" w:leftChars="200"/>
    </w:pPr>
  </w:style>
  <w:style w:type="paragraph" w:styleId="5">
    <w:name w:val="toc 1"/>
    <w:basedOn w:val="1"/>
    <w:next w:val="1"/>
    <w:autoRedefine/>
    <w:qFormat/>
    <w:uiPriority w:val="39"/>
    <w:pPr>
      <w:spacing w:line="360" w:lineRule="auto"/>
      <w:jc w:val="left"/>
    </w:pPr>
    <w:rPr>
      <w:rFonts w:eastAsia="黑体" w:asciiTheme="minorEastAsia" w:hAnsiTheme="minorEastAsia"/>
      <w:sz w:val="32"/>
      <w:szCs w:val="21"/>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8">
    <w:name w:val="Body Text First Indent 2"/>
    <w:basedOn w:val="4"/>
    <w:next w:val="1"/>
    <w:autoRedefine/>
    <w:qFormat/>
    <w:uiPriority w:val="0"/>
    <w:pPr>
      <w:ind w:left="200" w:firstLine="420" w:firstLineChars="200"/>
    </w:pPr>
    <w:rPr>
      <w:sz w:val="24"/>
      <w:szCs w:val="20"/>
    </w:rPr>
  </w:style>
  <w:style w:type="table" w:styleId="10">
    <w:name w:val="Table Grid"/>
    <w:basedOn w:val="9"/>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列出段落1"/>
    <w:basedOn w:val="1"/>
    <w:autoRedefine/>
    <w:qFormat/>
    <w:uiPriority w:val="0"/>
    <w:pPr>
      <w:ind w:firstLine="420" w:firstLineChars="200"/>
    </w:pPr>
    <w:rPr>
      <w:kern w:val="0"/>
      <w:sz w:val="24"/>
    </w:rPr>
  </w:style>
  <w:style w:type="paragraph" w:styleId="13">
    <w:name w:val="List Paragraph"/>
    <w:basedOn w:val="1"/>
    <w:autoRedefine/>
    <w:qFormat/>
    <w:uiPriority w:val="34"/>
    <w:pPr>
      <w:ind w:firstLine="420" w:firstLineChars="200"/>
    </w:pPr>
  </w:style>
  <w:style w:type="paragraph" w:customStyle="1" w:styleId="1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3558</Words>
  <Characters>4385</Characters>
  <Lines>0</Lines>
  <Paragraphs>0</Paragraphs>
  <TotalTime>0</TotalTime>
  <ScaleCrop>false</ScaleCrop>
  <LinksUpToDate>false</LinksUpToDate>
  <CharactersWithSpaces>4546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2023-07-31T09:50:00Z</dcterms:created>
  <dc:creator>近原</dc:creator>
  <cp:lastModifiedBy>Admin</cp:lastModifiedBy>
  <dcterms:modified xsi:type="dcterms:W3CDTF">2024-07-08T02:22:56Z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ADE8929BDA864994B952359D0D5058B9_11</vt:lpwstr>
  </property>
</Properties>
</file>